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spacing w:after="120" w:before="200" w:line="276" w:lineRule="auto"/>
        <w:jc w:val="center"/>
      </w:pPr>
      <w:r>
        <w:rPr>
          <w:rFonts w:ascii="Arial" w:hAnsi="Arial" w:cs="Arial" w:eastAsia="Arial"/>
          <w:sz w:val="28"/>
          <w:szCs w:val="28"/>
          <w:b/>
          <w:bCs/>
          <w:color w:val="1A5276"/>
          <w:rtl/>
        </w:rPr>
        <w:t>השוואת טכנולוגיות אנרגיה מתחדשת</w:t>
      </w:r>
    </w:p>
    <w:p>
      <w:pPr>
        <w:bidi/>
        <w:spacing w:after="60" w:before="0" w:line="276" w:lineRule="auto"/>
        <w:jc w:val="left"/>
      </w:pPr>
      <w:r>
        <w:rPr>
          <w:rFonts w:ascii="Arial" w:hAnsi="Arial" w:cs="Arial" w:eastAsia="Arial"/>
          <w:sz w:val="22"/>
          <w:szCs w:val="22"/>
          <w:rtl/>
        </w:rPr>
        <w:t/>
      </w:r>
    </w:p>
    <w:p>
      <w:pPr>
        <w:bidi/>
        <w:spacing w:after="120" w:before="0" w:line="276" w:lineRule="auto"/>
        <w:jc w:val="both"/>
      </w:pPr>
      <w:r>
        <w:rPr>
          <w:rFonts w:ascii="Arial" w:hAnsi="Arial" w:cs="Arial" w:eastAsia="Arial"/>
          <w:sz w:val="22"/>
          <w:szCs w:val="22"/>
          <w:rtl/>
        </w:rPr>
        <w:t>דוח זה מציג השוואה בין טכנולוגיות ייצור אנרגיה מתחדשת הפועלות בישראל, תוך התמקדות בעלות הממוצעת להתקנה ובמדד היעילות האנרגטית של כל טכנולוגיה. הנתונים מבוססים על ממוצע עלויות עגול 2022 מתוך מאגר הנתונים של תכנית המענקים הלאומית לייעול אנרגטי, ומיועדים לשמש כבסיס לניתוח עלות-תועלת חברתי.</w:t>
      </w:r>
    </w:p>
    <w:p>
      <w:pPr>
        <w:bidi/>
        <w:spacing w:after="80" w:before="0" w:line="276" w:lineRule="auto"/>
        <w:jc w:val="left"/>
      </w:pPr>
      <w:r>
        <w:rPr>
          <w:rFonts w:ascii="Arial" w:hAnsi="Arial" w:cs="Arial" w:eastAsia="Arial"/>
          <w:sz w:val="22"/>
          <w:szCs w:val="22"/>
          <w:rtl/>
        </w:rPr>
        <w:t/>
      </w:r>
    </w:p>
    <w:p>
      <w:pPr>
        <w:bidi/>
        <w:spacing w:after="100" w:before="160" w:line="276" w:lineRule="auto"/>
        <w:jc w:val="left"/>
        <w:pBdr>
          <w:bottom w:val="single" w:sz="6" w:space="4" w:color="1A5276"/>
        </w:pBdr>
      </w:pPr>
      <w:r>
        <w:rPr>
          <w:rFonts w:ascii="Arial" w:hAnsi="Arial" w:cs="Arial" w:eastAsia="Arial"/>
          <w:sz w:val="24"/>
          <w:szCs w:val="24"/>
          <w:b/>
          <w:bCs/>
          <w:color w:val="1A5276"/>
          <w:rtl/>
        </w:rPr>
        <w:t>טבלת השוואה: עלות ויעילות לפי טכנולוגיה</w:t>
      </w:r>
    </w:p>
    <w:p>
      <w:pPr>
        <w:bidi/>
        <w:spacing w:after="60" w:before="0" w:line="276" w:lineRule="auto"/>
        <w:jc w:val="left"/>
      </w:pPr>
      <w:r>
        <w:rPr>
          <w:rFonts w:ascii="Arial" w:hAnsi="Arial" w:cs="Arial" w:eastAsia="Arial"/>
          <w:sz w:val="22"/>
          <w:szCs w:val="22"/>
          <w:rtl/>
        </w:rPr>
        <w:t/>
      </w:r>
    </w:p>
    <w:tbl>
      <w:tblPr>
        <w:bidiVisual/>
        <w:tblW w:type="dxa" w:w="7200"/>
        <w:tblBorders>
          <w:top w:val="single" w:sz="4" w:color="BFBFBF"/>
          <w:left w:val="single" w:sz="4" w:color="BFBFBF"/>
          <w:bottom w:val="single" w:sz="4" w:color="BFBFBF"/>
          <w:right w:val="single" w:sz="4" w:color="BFBFBF"/>
          <w:insideH w:val="single" w:sz="4" w:color="BFBFBF"/>
          <w:insideV w:val="single" w:sz="4" w:color="BFBFBF"/>
        </w:tblBorders>
        <w:tblCellMar>
          <w:top w:type="dxa" w:w="80"/>
          <w:left w:type="dxa" w:w="120"/>
          <w:bottom w:type="dxa" w:w="80"/>
          <w:right w:type="dxa" w:w="120"/>
        </w:tblCellMar>
      </w:tblPr>
      <w:tblGrid>
        <w:gridCol w:w="3200"/>
        <w:gridCol w:w="2200"/>
        <w:gridCol w:w="1800"/>
      </w:tblGrid>
      <w:tr>
        <w:tc>
          <w:tcPr>
            <w:tcW w:type="dxa" w:w="3200"/>
            <w:tcBorders>
              <w:top w:val="single" w:sz="4" w:space="0" w:color="BFBFBF"/>
              <w:left w:val="single" w:sz="4" w:space="0" w:color="BFBFBF"/>
              <w:bottom w:val="single" w:sz="4" w:space="0" w:color="BFBFBF"/>
              <w:right w:val="single" w:sz="4" w:space="0" w:color="BFBFBF"/>
            </w:tcBorders>
            <w:shd w:val="clear" w:color="auto" w:fill="1A5276"/>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b/>
                <w:bCs/>
                <w:color w:val="FFFFFF"/>
                <w:rtl/>
              </w:rPr>
              <w:t>טכנולוגיה</w:t>
            </w:r>
          </w:p>
        </w:tc>
        <w:tc>
          <w:tcPr>
            <w:tcW w:type="dxa" w:w="2200"/>
            <w:tcBorders>
              <w:top w:val="single" w:sz="4" w:space="0" w:color="BFBFBF"/>
              <w:left w:val="single" w:sz="4" w:space="0" w:color="BFBFBF"/>
              <w:bottom w:val="single" w:sz="4" w:space="0" w:color="BFBFBF"/>
              <w:right w:val="single" w:sz="4" w:space="0" w:color="BFBFBF"/>
            </w:tcBorders>
            <w:shd w:val="clear" w:color="auto" w:fill="1A5276"/>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b/>
                <w:bCs/>
                <w:color w:val="FFFFFF"/>
                <w:rtl/>
              </w:rPr>
              <w:t>עלות ממוצעת</w:t>
            </w:r>
          </w:p>
        </w:tc>
        <w:tc>
          <w:tcPr>
            <w:tcW w:type="dxa" w:w="1800"/>
            <w:tcBorders>
              <w:top w:val="single" w:sz="4" w:space="0" w:color="BFBFBF"/>
              <w:left w:val="single" w:sz="4" w:space="0" w:color="BFBFBF"/>
              <w:bottom w:val="single" w:sz="4" w:space="0" w:color="BFBFBF"/>
              <w:right w:val="single" w:sz="4" w:space="0" w:color="BFBFBF"/>
            </w:tcBorders>
            <w:shd w:val="clear" w:color="auto" w:fill="1A5276"/>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b/>
                <w:bCs/>
                <w:color w:val="FFFFFF"/>
                <w:rtl/>
              </w:rPr>
              <w:t>יעילות</w:t>
            </w:r>
          </w:p>
        </w:tc>
      </w:tr>
      <w:tr>
        <w:tc>
          <w:tcPr>
            <w:tcW w:type="dxa" w:w="3200"/>
            <w:tcBorders>
              <w:top w:val="single" w:sz="4" w:space="0" w:color="BFBFBF"/>
              <w:left w:val="single" w:sz="4" w:space="0" w:color="BFBFBF"/>
              <w:bottom w:val="single" w:sz="4" w:space="0" w:color="BFBFBF"/>
              <w:right w:val="single" w:sz="4" w:space="0" w:color="BFBFBF"/>
            </w:tcBorders>
            <w:shd w:val="clear" w:color="auto" w:fill="EBF5FB"/>
            <w:tcMar>
              <w:top w:type="dxa" w:w="80"/>
              <w:left w:type="dxa" w:w="120"/>
              <w:bottom w:type="dxa" w:w="80"/>
              <w:right w:type="dxa" w:w="120"/>
            </w:tcMar>
            <w:vAlign w:val="center"/>
          </w:tcPr>
          <w:p>
            <w:pPr>
              <w:bidi/>
              <w:spacing w:after="0" w:before="0" w:line="276" w:lineRule="auto"/>
              <w:jc w:val="left"/>
            </w:pPr>
            <w:r>
              <w:rPr>
                <w:rFonts w:ascii="Arial" w:hAnsi="Arial" w:cs="Arial" w:eastAsia="Arial"/>
                <w:sz w:val="20"/>
                <w:szCs w:val="20"/>
                <w:b/>
                <w:bCs/>
                <w:rtl/>
              </w:rPr>
              <w:t>משאבות חום תעשייתיות</w:t>
            </w:r>
          </w:p>
        </w:tc>
        <w:tc>
          <w:tcPr>
            <w:tcW w:type="dxa" w:w="2200"/>
            <w:tcBorders>
              <w:top w:val="single" w:sz="4" w:space="0" w:color="BFBFBF"/>
              <w:left w:val="single" w:sz="4" w:space="0" w:color="BFBFBF"/>
              <w:bottom w:val="single" w:sz="4" w:space="0" w:color="BFBFBF"/>
              <w:right w:val="single" w:sz="4" w:space="0" w:color="BFBFBF"/>
            </w:tcBorders>
            <w:shd w:val="clear" w:color="auto" w:fill="EBF5FB"/>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850,000 ₪</w:t>
            </w:r>
          </w:p>
        </w:tc>
        <w:tc>
          <w:tcPr>
            <w:tcW w:type="dxa" w:w="1800"/>
            <w:tcBorders>
              <w:top w:val="single" w:sz="4" w:space="0" w:color="BFBFBF"/>
              <w:left w:val="single" w:sz="4" w:space="0" w:color="BFBFBF"/>
              <w:bottom w:val="single" w:sz="4" w:space="0" w:color="BFBFBF"/>
              <w:right w:val="single" w:sz="4" w:space="0" w:color="BFBFBF"/>
            </w:tcBorders>
            <w:shd w:val="clear" w:color="auto" w:fill="EBF5FB"/>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300% (COP)</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FFFFF"/>
            <w:tcMar>
              <w:top w:type="dxa" w:w="80"/>
              <w:left w:type="dxa" w:w="120"/>
              <w:bottom w:type="dxa" w:w="80"/>
              <w:right w:type="dxa" w:w="120"/>
            </w:tcMar>
            <w:vAlign w:val="center"/>
          </w:tcPr>
          <w:p>
            <w:pPr>
              <w:bidi/>
              <w:spacing w:after="0" w:before="0" w:line="276" w:lineRule="auto"/>
              <w:jc w:val="left"/>
            </w:pPr>
            <w:r>
              <w:rPr>
                <w:rFonts w:ascii="Arial" w:hAnsi="Arial" w:cs="Arial" w:eastAsia="Arial"/>
                <w:sz w:val="20"/>
                <w:szCs w:val="20"/>
                <w:b/>
                <w:bCs/>
                <w:rtl/>
              </w:rPr>
              <w:t>צ'ילרים אבסורפציה</w:t>
            </w:r>
          </w:p>
        </w:tc>
        <w:tc>
          <w:tcPr>
            <w:tcW w:type="dxa" w:w="2200"/>
            <w:tcBorders>
              <w:top w:val="single" w:sz="4" w:space="0" w:color="BFBFBF"/>
              <w:left w:val="single" w:sz="4" w:space="0" w:color="BFBFBF"/>
              <w:bottom w:val="single" w:sz="4" w:space="0" w:color="BFBFBF"/>
              <w:right w:val="single" w:sz="4" w:space="0" w:color="BFBFBF"/>
            </w:tcBorders>
            <w:shd w:val="clear" w:color="auto" w:fill="FFFFFF"/>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620,000 ₪</w:t>
            </w:r>
          </w:p>
        </w:tc>
        <w:tc>
          <w:tcPr>
            <w:tcW w:type="dxa" w:w="1800"/>
            <w:tcBorders>
              <w:top w:val="single" w:sz="4" w:space="0" w:color="BFBFBF"/>
              <w:left w:val="single" w:sz="4" w:space="0" w:color="BFBFBF"/>
              <w:bottom w:val="single" w:sz="4" w:space="0" w:color="BFBFBF"/>
              <w:right w:val="single" w:sz="4" w:space="0" w:color="BFBFBF"/>
            </w:tcBorders>
            <w:shd w:val="clear" w:color="auto" w:fill="FFFFFF"/>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70% (COP 0.7)</w:t>
            </w:r>
          </w:p>
        </w:tc>
      </w:tr>
      <w:tr>
        <w:tc>
          <w:tcPr>
            <w:tcW w:type="dxa" w:w="3200"/>
            <w:tcBorders>
              <w:top w:val="single" w:sz="4" w:space="0" w:color="BFBFBF"/>
              <w:left w:val="single" w:sz="4" w:space="0" w:color="BFBFBF"/>
              <w:bottom w:val="single" w:sz="4" w:space="0" w:color="BFBFBF"/>
              <w:right w:val="single" w:sz="4" w:space="0" w:color="BFBFBF"/>
            </w:tcBorders>
            <w:shd w:val="clear" w:color="auto" w:fill="EBF5FB"/>
            <w:tcMar>
              <w:top w:type="dxa" w:w="80"/>
              <w:left w:type="dxa" w:w="120"/>
              <w:bottom w:type="dxa" w:w="80"/>
              <w:right w:type="dxa" w:w="120"/>
            </w:tcMar>
            <w:vAlign w:val="center"/>
          </w:tcPr>
          <w:p>
            <w:pPr>
              <w:bidi/>
              <w:spacing w:after="0" w:before="0" w:line="276" w:lineRule="auto"/>
              <w:jc w:val="left"/>
            </w:pPr>
            <w:r>
              <w:rPr>
                <w:rFonts w:ascii="Arial" w:hAnsi="Arial" w:cs="Arial" w:eastAsia="Arial"/>
                <w:sz w:val="20"/>
                <w:szCs w:val="20"/>
                <w:b/>
                <w:bCs/>
                <w:rtl/>
              </w:rPr>
              <w:t>מדחסים עם כונן מהירות (VSD)</w:t>
            </w:r>
          </w:p>
        </w:tc>
        <w:tc>
          <w:tcPr>
            <w:tcW w:type="dxa" w:w="2200"/>
            <w:tcBorders>
              <w:top w:val="single" w:sz="4" w:space="0" w:color="BFBFBF"/>
              <w:left w:val="single" w:sz="4" w:space="0" w:color="BFBFBF"/>
              <w:bottom w:val="single" w:sz="4" w:space="0" w:color="BFBFBF"/>
              <w:right w:val="single" w:sz="4" w:space="0" w:color="BFBFBF"/>
            </w:tcBorders>
            <w:shd w:val="clear" w:color="auto" w:fill="EBF5FB"/>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410,000 ₪</w:t>
            </w:r>
          </w:p>
        </w:tc>
        <w:tc>
          <w:tcPr>
            <w:tcW w:type="dxa" w:w="1800"/>
            <w:tcBorders>
              <w:top w:val="single" w:sz="4" w:space="0" w:color="BFBFBF"/>
              <w:left w:val="single" w:sz="4" w:space="0" w:color="BFBFBF"/>
              <w:bottom w:val="single" w:sz="4" w:space="0" w:color="BFBFBF"/>
              <w:right w:val="single" w:sz="4" w:space="0" w:color="BFBFBF"/>
            </w:tcBorders>
            <w:shd w:val="clear" w:color="auto" w:fill="EBF5FB"/>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חיסכון 35%</w:t>
            </w:r>
          </w:p>
        </w:tc>
      </w:tr>
      <w:tr>
        <w:tc>
          <w:tcPr>
            <w:tcW w:type="dxa" w:w="3200"/>
            <w:tcBorders>
              <w:top w:val="single" w:sz="4" w:space="0" w:color="BFBFBF"/>
              <w:left w:val="single" w:sz="4" w:space="0" w:color="BFBFBF"/>
              <w:bottom w:val="single" w:sz="4" w:space="0" w:color="BFBFBF"/>
              <w:right w:val="single" w:sz="4" w:space="0" w:color="BFBFBF"/>
            </w:tcBorders>
            <w:shd w:val="clear" w:color="auto" w:fill="FFFFFF"/>
            <w:tcMar>
              <w:top w:type="dxa" w:w="80"/>
              <w:left w:type="dxa" w:w="120"/>
              <w:bottom w:type="dxa" w:w="80"/>
              <w:right w:type="dxa" w:w="120"/>
            </w:tcMar>
            <w:vAlign w:val="center"/>
          </w:tcPr>
          <w:p>
            <w:pPr>
              <w:bidi/>
              <w:spacing w:after="0" w:before="0" w:line="276" w:lineRule="auto"/>
              <w:jc w:val="left"/>
            </w:pPr>
            <w:r>
              <w:rPr>
                <w:rFonts w:ascii="Arial" w:hAnsi="Arial" w:cs="Arial" w:eastAsia="Arial"/>
                <w:sz w:val="20"/>
                <w:szCs w:val="20"/>
                <w:b/>
                <w:bCs/>
                <w:rtl/>
              </w:rPr>
              <w:t>קולטי קיטור חשמליים</w:t>
            </w:r>
          </w:p>
        </w:tc>
        <w:tc>
          <w:tcPr>
            <w:tcW w:type="dxa" w:w="2200"/>
            <w:tcBorders>
              <w:top w:val="single" w:sz="4" w:space="0" w:color="BFBFBF"/>
              <w:left w:val="single" w:sz="4" w:space="0" w:color="BFBFBF"/>
              <w:bottom w:val="single" w:sz="4" w:space="0" w:color="BFBFBF"/>
              <w:right w:val="single" w:sz="4" w:space="0" w:color="BFBFBF"/>
            </w:tcBorders>
            <w:shd w:val="clear" w:color="auto" w:fill="FFFFFF"/>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1,100,000 ₪</w:t>
            </w:r>
          </w:p>
        </w:tc>
        <w:tc>
          <w:tcPr>
            <w:tcW w:type="dxa" w:w="1800"/>
            <w:tcBorders>
              <w:top w:val="single" w:sz="4" w:space="0" w:color="BFBFBF"/>
              <w:left w:val="single" w:sz="4" w:space="0" w:color="BFBFBF"/>
              <w:bottom w:val="single" w:sz="4" w:space="0" w:color="BFBFBF"/>
              <w:right w:val="single" w:sz="4" w:space="0" w:color="BFBFBF"/>
            </w:tcBorders>
            <w:shd w:val="clear" w:color="auto" w:fill="FFFFFF"/>
            <w:tcMar>
              <w:top w:type="dxa" w:w="80"/>
              <w:left w:type="dxa" w:w="120"/>
              <w:bottom w:type="dxa" w:w="80"/>
              <w:right w:type="dxa" w:w="120"/>
            </w:tcMar>
            <w:vAlign w:val="center"/>
          </w:tcPr>
          <w:p>
            <w:pPr>
              <w:bidi/>
              <w:spacing w:after="0" w:before="0" w:line="276" w:lineRule="auto"/>
              <w:jc w:val="center"/>
            </w:pPr>
            <w:r>
              <w:rPr>
                <w:rFonts w:ascii="Arial" w:hAnsi="Arial" w:cs="Arial" w:eastAsia="Arial"/>
                <w:sz w:val="20"/>
                <w:szCs w:val="20"/>
                <w:rtl/>
              </w:rPr>
              <w:t>98% (חשמלי)</w:t>
            </w:r>
          </w:p>
        </w:tc>
      </w:tr>
    </w:tbl>
    <w:p>
      <w:pPr>
        <w:bidi/>
        <w:spacing w:after="100" w:before="0" w:line="276" w:lineRule="auto"/>
        <w:jc w:val="left"/>
      </w:pPr>
      <w:r>
        <w:rPr>
          <w:rFonts w:ascii="Arial" w:hAnsi="Arial" w:cs="Arial" w:eastAsia="Arial"/>
          <w:sz w:val="22"/>
          <w:szCs w:val="22"/>
          <w:rtl/>
        </w:rPr>
        <w:t/>
      </w:r>
    </w:p>
    <w:p>
      <w:pPr>
        <w:bidi/>
        <w:spacing w:after="0" w:before="0" w:line="276" w:lineRule="auto"/>
        <w:jc w:val="left"/>
      </w:pPr>
      <w:r>
        <w:rPr>
          <w:rFonts w:ascii="Arial" w:hAnsi="Arial" w:cs="Arial" w:eastAsia="Arial"/>
          <w:sz w:val="18"/>
          <w:szCs w:val="18"/>
          <w:i/>
          <w:iCs/>
          <w:color w:val="595959"/>
          <w:rtl/>
        </w:rPr>
        <w:t>* עלויות הינן ממוצע משוקלל להשקעה לפי נתוני עיגול 2022 מתוך capex_all_rounds.csv.</w:t>
      </w:r>
    </w:p>
    <w:sectPr>
      <w:bidi/>
      <w:pgSz w:w="11906" w:h="16838"/>
      <w:pgMar w:top="1080" w:right="1080" w:bottom="1080" w:left="1080"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bidi/>
        <w:ind w:right="360" w:hanging="360"/>
        <w:jc w:val="left"/>
      </w:pPr>
      <w:rPr>
        <w:rFonts w:ascii="Arial" w:hAnsi="Arial" w:cs="Arial"/>
        <w:rt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2"/>
        <w:szCs w:val="22"/>
        <w:rtl/>
      </w:rPr>
    </w:rPrDefault>
    <w:pPrDefault>
      <w:pPr>
        <w:bidi/>
      </w:pPr>
    </w:pPrDefault>
  </w:docDefaults>
  <w:style w:type="paragraph" w:default="1" w:styleId="Normal">
    <w:name w:val="Normal"/>
    <w:pPr>
      <w:bidi/>
    </w:pPr>
    <w:rPr>
      <w:rt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