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David" w:cs="David" w:eastAsia="David" w:hAnsi="David"/>
          <w:b/>
          <w:bCs/>
          <w:color w:val="1F4E78"/>
          <w:sz w:val="40"/>
          <w:szCs w:val="40"/>
          <w:rtl/>
        </w:rPr>
        <w:t xml:space="preserve">פרק ההטבה במס: פחת מואץ</w:t>
      </w:r>
    </w:p>
    <w:p>
      <w:pPr>
        <w:bidi/>
        <w:spacing w:after="200" w:before="0"/>
        <w:jc w:val="right"/>
      </w:pPr>
      <w:r>
        <w:rPr>
          <w:rFonts w:ascii="David" w:cs="David" w:eastAsia="David" w:hAnsi="David"/>
          <w:b w:val="false"/>
          <w:bCs w:val="false"/>
          <w:i/>
          <w:iCs/>
          <w:color w:val="595959"/>
          <w:sz w:val="22"/>
          <w:szCs w:val="22"/>
          <w:rtl/>
        </w:rPr>
        <w:t xml:space="preserve">התוכנית הלאומית להתייעלות אנרגטית</w:t>
      </w:r>
    </w:p>
    <w:p>
      <w:pPr>
        <w:bidi/>
        <w:spacing w:after="200" w:before="0"/>
        <w:jc w:val="right"/>
      </w:pPr>
      <w:r>
        <w:rPr>
          <w:rFonts w:ascii="David" w:cs="David" w:eastAsia="David" w:hAnsi="David"/>
          <w:b w:val="false"/>
          <w:bCs w:val="false"/>
          <w:i/>
          <w:iCs/>
          <w:color w:val="B26A00"/>
          <w:sz w:val="20"/>
          <w:szCs w:val="20"/>
          <w:rtl/>
        </w:rPr>
        <w:t xml:space="preserve">טיוטה ראשונה, 5.8.2026 -- לא לשימוש חיצוני</w:t>
      </w:r>
    </w:p>
    <w:p>
      <w:pPr>
        <w:pBdr>
          <w:bottom w:val="single" w:color="BFBFBF" w:sz="6"/>
        </w:pBdr>
        <w:spacing w:after="200"/>
      </w:pPr>
    </w:p>
    <w:p>
      <w:pPr>
        <w:pStyle w:val="Heading1"/>
        <w:bidi/>
        <w:spacing w:after="200" w:before="400"/>
        <w:jc w:val="right"/>
      </w:pPr>
      <w:r>
        <w:rPr>
          <w:rFonts w:ascii="David" w:cs="David" w:eastAsia="David" w:hAnsi="David"/>
          <w:b/>
          <w:bCs/>
          <w:color w:val="1F4E78"/>
          <w:sz w:val="30"/>
          <w:szCs w:val="30"/>
          <w:rtl/>
        </w:rPr>
        <w:t xml:space="preserve">1. רקע ומדיניות</w:t>
      </w:r>
    </w:p>
    <w:p>
      <w:pPr>
        <w:bidi/>
        <w:spacing w:after="200" w:before="0"/>
        <w:jc w:val="right"/>
      </w:pPr>
      <w:r>
        <w:rPr>
          <w:rFonts w:ascii="David" w:cs="David" w:eastAsia="David" w:hAnsi="David"/>
          <w:b w:val="false"/>
          <w:bCs w:val="false"/>
          <w:i w:val="false"/>
          <w:iCs w:val="false"/>
          <w:sz w:val="22"/>
          <w:szCs w:val="22"/>
          <w:rtl/>
        </w:rPr>
        <w:t xml:space="preserve">התוכנית הלאומית להתייעלות אנרגטית כוללת שלושה מנגנוני תמריץ משלימים לאימוץ ציוד תעשייתי חוסך אנרגיה: תוכנית מענקים (הפרק הוגש ללקוח ב-12.7.2026), קרן הלוואות (בעבודה), והטבת מס באמצעות פחת מואץ, נושאו של פרק זה.</w:t>
      </w:r>
    </w:p>
    <w:p>
      <w:pPr>
        <w:bidi/>
        <w:spacing w:after="200" w:before="0"/>
        <w:jc w:val="right"/>
      </w:pPr>
      <w:r>
        <w:rPr>
          <w:rFonts w:ascii="David" w:cs="David" w:eastAsia="David" w:hAnsi="David"/>
          <w:b w:val="false"/>
          <w:bCs w:val="false"/>
          <w:i w:val="false"/>
          <w:iCs w:val="false"/>
          <w:sz w:val="22"/>
          <w:szCs w:val="22"/>
          <w:rtl/>
        </w:rPr>
        <w:t xml:space="preserve">בשונה ממענק, שהוא העברה תקציבית ישירה מהמדינה לחברה, פחת מואץ אינו כרוך בהוצאה תקציבית מצד המדינה. המנגנון מאפשר למפעל מאושר לנכות את מלוא עלות הציוד היעיל אנרגטית מההכנסה החייבת במס על פני תקופה קצרה מלוח הפחת הרגיל, ובכך משפר את תזרים המזומנים והשווי הנוכחי הנקי (NPV) של ההשקעה בטווח הקרוב, מבלי לשנות את סך המס המשולם על פני אורך חיי הציוד.</w:t>
      </w:r>
    </w:p>
    <w:p>
      <w:pPr>
        <w:bidi/>
        <w:spacing w:after="200" w:before="0"/>
        <w:jc w:val="right"/>
      </w:pPr>
      <w:r>
        <w:rPr>
          <w:rFonts w:ascii="David" w:cs="David" w:eastAsia="David" w:hAnsi="David"/>
          <w:b w:val="false"/>
          <w:bCs w:val="false"/>
          <w:i w:val="false"/>
          <w:iCs w:val="false"/>
          <w:sz w:val="22"/>
          <w:szCs w:val="22"/>
          <w:rtl/>
        </w:rPr>
        <w:t xml:space="preserve">יתרון זה תואם בדיוק את הבעיה שהתמריץ נועד לפתור: פערי היוון בין הראייה הפרטית של המפעל (שמעדיף החזר השקעה מהיר) לראייה החברתית (שמצדיקה השקעה גם כשההחזר איטי יותר) הם הסיבה המרכזית לתת-השקעה בציוד יעיל אנרגטית, גם כשההשקעה משתלמת בטווח הארוך.</w:t>
      </w:r>
    </w:p>
    <w:p>
      <w:pPr>
        <w:pBdr>
          <w:left w:val="single" w:color="1F4E78" w:sz="12" w:space="8"/>
        </w:pBdr>
        <w:shd w:fill="FFF3E0" w:val="clear"/>
        <w:bidi/>
        <w:spacing w:after="240" w:before="0"/>
        <w:jc w:val="right"/>
      </w:pPr>
      <w:r>
        <w:rPr>
          <w:rFonts w:ascii="David" w:cs="David" w:eastAsia="David" w:hAnsi="David"/>
          <w:b w:val="false"/>
          <w:bCs w:val="false"/>
          <w:i/>
          <w:iCs/>
          <w:color w:val="B26A00"/>
          <w:sz w:val="22"/>
          <w:szCs w:val="22"/>
          <w:rtl/>
        </w:rPr>
        <w:t xml:space="preserve">[מקום שמור -- בסיס משפטי: יש לאשר האם ההטבה מבוססת על אותה החלטת ממשלה שעליה מבוסס פרק המענקים (החלטה 1261 מיום 14.1.2024), או על הוראה נפרדת במסגרת חוק עידוד השקעות הון / מעמד מפעל מאושר. לא אומת במסמכים הזמינים לסשן זה.]</w:t>
      </w:r>
    </w:p>
    <w:p>
      <w:pPr>
        <w:pStyle w:val="Heading1"/>
        <w:bidi/>
        <w:spacing w:after="200" w:before="400"/>
        <w:jc w:val="right"/>
      </w:pPr>
      <w:r>
        <w:rPr>
          <w:rFonts w:ascii="David" w:cs="David" w:eastAsia="David" w:hAnsi="David"/>
          <w:b/>
          <w:bCs/>
          <w:color w:val="1F4E78"/>
          <w:sz w:val="30"/>
          <w:szCs w:val="30"/>
          <w:rtl/>
        </w:rPr>
        <w:t xml:space="preserve">2. אופן פעולת המנגנון</w:t>
      </w:r>
    </w:p>
    <w:p>
      <w:pPr>
        <w:bidi/>
        <w:spacing w:after="200" w:before="0"/>
        <w:jc w:val="right"/>
      </w:pPr>
      <w:r>
        <w:rPr>
          <w:rFonts w:ascii="David" w:cs="David" w:eastAsia="David" w:hAnsi="David"/>
          <w:b w:val="false"/>
          <w:bCs w:val="false"/>
          <w:i w:val="false"/>
          <w:iCs w:val="false"/>
          <w:sz w:val="22"/>
          <w:szCs w:val="22"/>
          <w:rtl/>
        </w:rPr>
        <w:t xml:space="preserve">ההטבה פועלת באמצעות מקדם פחת מואץ (לדוגמה, מקדם 2 משמעו ניכוי של 20% משווי הציוד בכל שנה על פני 5 שנים, במקום לוח הפחת הרגיל וארוך יותר). המקדם המדויק והמסלול המלא ייקבעו בהתאם למודל הכלכלי הקיים.</w:t>
      </w:r>
    </w:p>
    <w:p>
      <w:pPr>
        <w:bidi/>
        <w:spacing w:after="200" w:before="0"/>
        <w:jc w:val="right"/>
      </w:pPr>
      <w:r>
        <w:rPr>
          <w:rFonts w:ascii="David" w:cs="David" w:eastAsia="David" w:hAnsi="David"/>
          <w:b w:val="false"/>
          <w:bCs w:val="false"/>
          <w:i w:val="false"/>
          <w:iCs w:val="false"/>
          <w:sz w:val="22"/>
          <w:szCs w:val="22"/>
          <w:rtl/>
        </w:rPr>
        <w:t xml:space="preserve">הטכנולוגיות המאושרות במסגרת פרק זה, בסקטור התעשייה:</w:t>
      </w:r>
    </w:p>
    <w:p>
      <w:pPr>
        <w:pStyle w:val="ListParagraph"/>
        <w:numPr>
          <w:ilvl w:val="0"/>
          <w:numId w:val="1"/>
        </w:numPr>
        <w:bidi/>
        <w:spacing w:after="120"/>
        <w:jc w:val="right"/>
      </w:pPr>
      <w:r>
        <w:rPr>
          <w:rFonts w:ascii="David" w:cs="David" w:eastAsia="David" w:hAnsi="David"/>
          <w:sz w:val="22"/>
          <w:szCs w:val="22"/>
          <w:rtl/>
        </w:rPr>
        <w:t xml:space="preserve">צ'ילרים (100RT ו-500RT)</w:t>
      </w:r>
    </w:p>
    <w:p>
      <w:pPr>
        <w:pStyle w:val="ListParagraph"/>
        <w:numPr>
          <w:ilvl w:val="0"/>
          <w:numId w:val="1"/>
        </w:numPr>
        <w:bidi/>
        <w:spacing w:after="120"/>
        <w:jc w:val="right"/>
      </w:pPr>
      <w:r>
        <w:rPr>
          <w:rFonts w:ascii="David" w:cs="David" w:eastAsia="David" w:hAnsi="David"/>
          <w:sz w:val="22"/>
          <w:szCs w:val="22"/>
          <w:rtl/>
        </w:rPr>
        <w:t xml:space="preserve">משאבות חום (40kW ו-70kW)</w:t>
      </w:r>
    </w:p>
    <w:p>
      <w:pPr>
        <w:pStyle w:val="ListParagraph"/>
        <w:numPr>
          <w:ilvl w:val="0"/>
          <w:numId w:val="1"/>
        </w:numPr>
        <w:bidi/>
        <w:spacing w:after="120"/>
        <w:jc w:val="right"/>
      </w:pPr>
      <w:r>
        <w:rPr>
          <w:rFonts w:ascii="David" w:cs="David" w:eastAsia="David" w:hAnsi="David"/>
          <w:sz w:val="22"/>
          <w:szCs w:val="22"/>
          <w:rtl/>
        </w:rPr>
        <w:t xml:space="preserve">מדחסים עם הנעה משתנה (VSD, 45kW ו-150kW)</w:t>
      </w:r>
    </w:p>
    <w:p>
      <w:pPr>
        <w:bidi/>
        <w:spacing w:after="200" w:before="0"/>
        <w:jc w:val="right"/>
      </w:pPr>
      <w:r>
        <w:rPr>
          <w:rFonts w:ascii="David" w:cs="David" w:eastAsia="David" w:hAnsi="David"/>
          <w:b w:val="false"/>
          <w:bCs w:val="false"/>
          <w:i w:val="false"/>
          <w:iCs w:val="false"/>
          <w:sz w:val="22"/>
          <w:szCs w:val="22"/>
          <w:rtl/>
        </w:rPr>
        <w:t xml:space="preserve">הזכאות למעמד מפעל מאושר ולניצול הפחת המואץ מותנית בעמידה בתנאי הסף הרגילים של המנגנון, ובשימוש בטכנולוגיה שנמצאת ברשימת הטכנולוגיות המאושרות לעיל.</w:t>
      </w:r>
    </w:p>
    <w:p>
      <w:pPr>
        <w:pStyle w:val="Heading1"/>
        <w:bidi/>
        <w:spacing w:after="200" w:before="400"/>
        <w:jc w:val="right"/>
      </w:pPr>
      <w:r>
        <w:rPr>
          <w:rFonts w:ascii="David" w:cs="David" w:eastAsia="David" w:hAnsi="David"/>
          <w:b/>
          <w:bCs/>
          <w:color w:val="1F4E78"/>
          <w:sz w:val="30"/>
          <w:szCs w:val="30"/>
          <w:rtl/>
        </w:rPr>
        <w:t xml:space="preserve">3. סקירה בינלאומית</w:t>
      </w:r>
    </w:p>
    <w:p>
      <w:pPr>
        <w:pBdr>
          <w:left w:val="single" w:color="1F4E78" w:sz="12" w:space="8"/>
        </w:pBdr>
        <w:shd w:fill="FFF3E0" w:val="clear"/>
        <w:bidi/>
        <w:spacing w:after="240" w:before="0"/>
        <w:jc w:val="right"/>
      </w:pPr>
      <w:r>
        <w:rPr>
          <w:rFonts w:ascii="David" w:cs="David" w:eastAsia="David" w:hAnsi="David"/>
          <w:b w:val="false"/>
          <w:bCs w:val="false"/>
          <w:i/>
          <w:iCs/>
          <w:color w:val="B26A00"/>
          <w:sz w:val="22"/>
          <w:szCs w:val="22"/>
          <w:rtl/>
        </w:rPr>
        <w:t xml:space="preserve">[מקום שמור -- הסקירה הבינלאומית כבר נכתבה במלואה (פחת מואץ באירלנד, קנדה, סינגפור, ספרד וקפריסין, 5 פרמטרים קבועים לכל מדינה + טבלת השוואה), אך הקובץ נמצא במחשב העבודה ולא זמין בסשן זה. יש להעתיק את התוכן לכאן ולבצע מעבר טון קל כך שיתאים לשאר הפרק.]</w:t>
      </w:r>
    </w:p>
    <w:p>
      <w:pPr>
        <w:pStyle w:val="Heading1"/>
        <w:bidi/>
        <w:spacing w:after="200" w:before="400"/>
        <w:jc w:val="right"/>
      </w:pPr>
      <w:r>
        <w:rPr>
          <w:rFonts w:ascii="David" w:cs="David" w:eastAsia="David" w:hAnsi="David"/>
          <w:b/>
          <w:bCs/>
          <w:color w:val="1F4E78"/>
          <w:sz w:val="30"/>
          <w:szCs w:val="30"/>
          <w:rtl/>
        </w:rPr>
        <w:t xml:space="preserve">4. מתודולוגיה</w:t>
      </w:r>
    </w:p>
    <w:p>
      <w:pPr>
        <w:pStyle w:val="Heading2"/>
        <w:bidi/>
        <w:spacing w:after="150" w:before="300"/>
        <w:jc w:val="right"/>
      </w:pPr>
      <w:r>
        <w:rPr>
          <w:rFonts w:ascii="David" w:cs="David" w:eastAsia="David" w:hAnsi="David"/>
          <w:b/>
          <w:bCs/>
          <w:color w:val="1F4E78"/>
          <w:sz w:val="24"/>
          <w:szCs w:val="24"/>
          <w:rtl/>
        </w:rPr>
        <w:t xml:space="preserve">4.1 כלל האימוץ</w:t>
      </w:r>
    </w:p>
    <w:p>
      <w:pPr>
        <w:bidi/>
        <w:spacing w:after="200" w:before="0"/>
        <w:jc w:val="right"/>
      </w:pPr>
      <w:r>
        <w:rPr>
          <w:rFonts w:ascii="David" w:cs="David" w:eastAsia="David" w:hAnsi="David"/>
          <w:b w:val="false"/>
          <w:bCs w:val="false"/>
          <w:i w:val="false"/>
          <w:iCs w:val="false"/>
          <w:sz w:val="22"/>
          <w:szCs w:val="22"/>
          <w:rtl/>
        </w:rPr>
        <w:t xml:space="preserve">בפועל, חברות מאשרות השקעות בהתייעלות אנרגטית על בסיס תקופת החזר פנימית קצרה, ולא על בסיס שווי נוכחי נקי לאורך 20 שנה. הסף שנקבע במודל הוא תקופת החזר של 3 שנים -- מספר שמקורו ברפי, ראש צוות ההנדסה באקוטריידרס, שאישר אותו כמסקנה החזקה ביותר שניתן לספק בניתוח זה.</w:t>
      </w:r>
    </w:p>
    <w:p>
      <w:pPr>
        <w:pStyle w:val="Heading2"/>
        <w:bidi/>
        <w:spacing w:after="150" w:before="300"/>
        <w:jc w:val="right"/>
      </w:pPr>
      <w:r>
        <w:rPr>
          <w:rFonts w:ascii="David" w:cs="David" w:eastAsia="David" w:hAnsi="David"/>
          <w:b/>
          <w:bCs/>
          <w:color w:val="1F4E78"/>
          <w:sz w:val="24"/>
          <w:szCs w:val="24"/>
          <w:rtl/>
        </w:rPr>
        <w:t xml:space="preserve">4.2 ממצא התוספתיות</w:t>
      </w:r>
    </w:p>
    <w:p>
      <w:pPr>
        <w:bidi/>
        <w:spacing w:after="200" w:before="0"/>
        <w:jc w:val="right"/>
      </w:pPr>
      <w:r>
        <w:rPr>
          <w:rFonts w:ascii="David" w:cs="David" w:eastAsia="David" w:hAnsi="David"/>
          <w:b w:val="false"/>
          <w:bCs w:val="false"/>
          <w:i w:val="false"/>
          <w:iCs w:val="false"/>
          <w:sz w:val="22"/>
          <w:szCs w:val="22"/>
          <w:rtl/>
        </w:rPr>
        <w:t xml:space="preserve">בסף של 3 שנים, רק צ'ילרים (100RT ו-500RT) מציגים תוספתיות אמיתית -- ההטבה הופכת החלטת השקעה משלילית לחיובית. משאבות חום ומדחסי VSD עוברים את הסף גם ללא ההטבה, כלומר ההשקעה בהם משתלמת ממילא, וההטבה עבורם מהווה עלות מתה (deadweight) ולא שינוי התנהגות אמיתי.</w:t>
      </w:r>
    </w:p>
    <w:p>
      <w:pPr>
        <w:bidi/>
        <w:spacing w:after="200" w:before="0"/>
        <w:jc w:val="right"/>
      </w:pPr>
      <w:r>
        <w:rPr>
          <w:rFonts w:ascii="David" w:cs="David" w:eastAsia="David" w:hAnsi="David"/>
          <w:b w:val="false"/>
          <w:bCs w:val="false"/>
          <w:i w:val="false"/>
          <w:iCs w:val="false"/>
          <w:sz w:val="22"/>
          <w:szCs w:val="22"/>
          <w:rtl/>
        </w:rPr>
        <w:t xml:space="preserve">זוהי אסימטריה מתודולוגית של ממש ביחס לפרק המענקים, שנמנע מטענת תוספתיות מכל וכל. פרק זה, כפי שנבנה, טוען לתוספתיות -- אך רק עבור צ'ילרים.</w:t>
      </w:r>
    </w:p>
    <w:p>
      <w:pPr>
        <w:pStyle w:val="Heading2"/>
        <w:bidi/>
        <w:spacing w:after="150" w:before="300"/>
        <w:jc w:val="right"/>
      </w:pPr>
      <w:r>
        <w:rPr>
          <w:rFonts w:ascii="David" w:cs="David" w:eastAsia="David" w:hAnsi="David"/>
          <w:b/>
          <w:bCs/>
          <w:color w:val="1F4E78"/>
          <w:sz w:val="24"/>
          <w:szCs w:val="24"/>
          <w:rtl/>
        </w:rPr>
        <w:t xml:space="preserve">4.3 אמידת היקף השוק</w:t>
      </w:r>
    </w:p>
    <w:p>
      <w:pPr>
        <w:bidi/>
        <w:spacing w:after="200" w:before="0"/>
        <w:jc w:val="right"/>
      </w:pPr>
      <w:r>
        <w:rPr>
          <w:rFonts w:ascii="David" w:cs="David" w:eastAsia="David" w:hAnsi="David"/>
          <w:b w:val="false"/>
          <w:bCs w:val="false"/>
          <w:i w:val="false"/>
          <w:iCs w:val="false"/>
          <w:sz w:val="22"/>
          <w:szCs w:val="22"/>
          <w:rtl/>
        </w:rPr>
        <w:t xml:space="preserve">אמידת שוק מלאה לכל טכנולוגיה (התחלות בנייה עבור צ'ילרים, מאזן אנרגיה ארצי עבור משאבות חום, צריכת חשמל תעשייתית עבור VSD) לא ענתה באופן אמין על השאלה המרכזית: כמה פרויקטים מתבצעים בפועל מדי שנה. שלוש הגישות שנבדקו אמדו מלאי קיים או בסיס שטח, ולא את קצב ההתקנות השנתי הנדרש.</w:t>
      </w:r>
    </w:p>
    <w:p>
      <w:pPr>
        <w:bidi/>
        <w:spacing w:after="200" w:before="0"/>
        <w:jc w:val="right"/>
      </w:pPr>
      <w:r>
        <w:rPr>
          <w:rFonts w:ascii="David" w:cs="David" w:eastAsia="David" w:hAnsi="David"/>
          <w:b w:val="false"/>
          <w:bCs w:val="false"/>
          <w:i w:val="false"/>
          <w:iCs w:val="false"/>
          <w:sz w:val="22"/>
          <w:szCs w:val="22"/>
          <w:rtl/>
        </w:rPr>
        <w:t xml:space="preserve">בשלב זה, ועד לקבלת נתונים טובים יותר, הפרק מציג את החיסכון לכל טכנולוגיה ביחידות של 1,000 יחידות, כתחליף זמני להיקף שוק אמיתי. נשלחה פנייה למשרד האנרגיה (5.8.2026) בבקשה לנתוני יבוא לשלוש הטכנולוגיות -- אם יתקבלו נתונים אמינים, ניתן יהיה לחזור ולבנות אמידת שוק אמיתית.</w:t>
      </w:r>
    </w:p>
    <w:p>
      <w:pPr>
        <w:pStyle w:val="Heading2"/>
        <w:bidi/>
        <w:spacing w:after="150" w:before="300"/>
        <w:jc w:val="right"/>
      </w:pPr>
      <w:r>
        <w:rPr>
          <w:rFonts w:ascii="David" w:cs="David" w:eastAsia="David" w:hAnsi="David"/>
          <w:b/>
          <w:bCs/>
          <w:color w:val="1F4E78"/>
          <w:sz w:val="24"/>
          <w:szCs w:val="24"/>
          <w:rtl/>
        </w:rPr>
        <w:t xml:space="preserve">4.4 עלות פיסקלית</w:t>
      </w:r>
    </w:p>
    <w:p>
      <w:pPr>
        <w:bidi/>
        <w:spacing w:after="200" w:before="0"/>
        <w:jc w:val="right"/>
      </w:pPr>
      <w:r>
        <w:rPr>
          <w:rFonts w:ascii="David" w:cs="David" w:eastAsia="David" w:hAnsi="David"/>
          <w:b w:val="false"/>
          <w:bCs w:val="false"/>
          <w:i w:val="false"/>
          <w:iCs w:val="false"/>
          <w:sz w:val="22"/>
          <w:szCs w:val="22"/>
          <w:rtl/>
        </w:rPr>
        <w:t xml:space="preserve">עלות ההטבה למדינה מחושבת כערך הנוכחי של דחיית המס (ולא כניכוי המלא) -- ההבדל בין השווי הנוכחי הנקי של החלופה עם ההטבה (C) לחלופה ללא ההטבה (B). בשונה ממענק, שהוא הוצאה תקציבית מלאה, פחת מואץ הוא הטבת תזמון בלבד: החברה מנכה את אותם 100% מעלות הציוד בשני המקרים, וההטבה רק מקדימה את מועד הניכוי. לכן העלות הפיסקלית האמיתית קטנה משמעותית מהיקף ההטבה הנקוב, ומוצגת אף היא ביחידות של 1,000 יחידות.</w:t>
      </w:r>
    </w:p>
    <w:p>
      <w:pPr>
        <w:pStyle w:val="Heading1"/>
        <w:bidi/>
        <w:spacing w:after="200" w:before="400"/>
        <w:jc w:val="right"/>
      </w:pPr>
      <w:r>
        <w:rPr>
          <w:rFonts w:ascii="David" w:cs="David" w:eastAsia="David" w:hAnsi="David"/>
          <w:b/>
          <w:bCs/>
          <w:color w:val="1F4E78"/>
          <w:sz w:val="30"/>
          <w:szCs w:val="30"/>
          <w:rtl/>
        </w:rPr>
        <w:t xml:space="preserve">5. תוצאות</w:t>
      </w:r>
    </w:p>
    <w:p>
      <w:pPr>
        <w:pBdr>
          <w:left w:val="single" w:color="1F4E78" w:sz="12" w:space="8"/>
        </w:pBdr>
        <w:shd w:fill="FFF3E0" w:val="clear"/>
        <w:bidi/>
        <w:spacing w:after="240" w:before="0"/>
        <w:jc w:val="right"/>
      </w:pPr>
      <w:r>
        <w:rPr>
          <w:rFonts w:ascii="David" w:cs="David" w:eastAsia="David" w:hAnsi="David"/>
          <w:b w:val="false"/>
          <w:bCs w:val="false"/>
          <w:i/>
          <w:iCs/>
          <w:color w:val="B26A00"/>
          <w:sz w:val="22"/>
          <w:szCs w:val="22"/>
          <w:rtl/>
        </w:rPr>
        <w:t xml:space="preserve">[מקום שמור -- ממתין לנעילת המספרים הסופיים במודל. מבנה הסעיף: (א) לכל טכנולוגיה -- שווי נוכחי נקי, מגה-וואט שעה נחסך, טונות פחמן דו-חמצני נחסכות, עלות פיסקלית, הכל ליחידה של 1,000 יחידות; (ב) יחס עלות-תועלת לצ'ילרים בלבד (ש"ח/טונה פחמן, ש"ח/מגה-וואט שעה) -- המספר האמיתי היחיד, שכן רק עבור צ'ילרים קיים חיסכון תוספתי אמיתי לחלק בו; (ג) השוואה מול היחסים המקבילים בפרק המענקים.]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2026-08-05T12:38:18.217Z</dcterms:created>
  <dcterms:modified xsi:type="dcterms:W3CDTF">2026-08-05T12:38:18.217Z</dcterms:modified>
</cp:coreProperties>
</file>

<file path=docProps/custom.xml><?xml version="1.0" encoding="utf-8"?>
<Properties xmlns="http://schemas.openxmlformats.org/officeDocument/2006/custom-properties" xmlns:vt="http://schemas.openxmlformats.org/officeDocument/2006/docPropsVTypes"/>
</file>