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946B" w14:textId="63CE3377" w:rsidR="00752232" w:rsidRPr="00752232" w:rsidRDefault="00752232" w:rsidP="00027063">
      <w:pPr>
        <w:spacing w:line="360" w:lineRule="auto"/>
        <w:jc w:val="both"/>
        <w:rPr>
          <w:rFonts w:ascii="Garamond" w:hAnsi="Garamond" w:cstheme="majorBidi"/>
          <w:b/>
          <w:bCs/>
          <w:sz w:val="28"/>
          <w:szCs w:val="28"/>
          <w:lang w:val="en-US"/>
        </w:rPr>
      </w:pPr>
      <w:r w:rsidRPr="00752232">
        <w:rPr>
          <w:rFonts w:ascii="Garamond" w:hAnsi="Garamond" w:cstheme="majorBidi"/>
          <w:b/>
          <w:bCs/>
          <w:sz w:val="28"/>
          <w:szCs w:val="28"/>
          <w:lang w:val="en-US"/>
        </w:rPr>
        <w:t xml:space="preserve">MA Labor Economics – Problem Set </w:t>
      </w:r>
      <w:r w:rsidR="00025816">
        <w:rPr>
          <w:rFonts w:ascii="Garamond" w:hAnsi="Garamond" w:cstheme="majorBidi"/>
          <w:b/>
          <w:bCs/>
          <w:sz w:val="28"/>
          <w:szCs w:val="28"/>
          <w:lang w:val="en-US"/>
        </w:rPr>
        <w:t>2</w:t>
      </w:r>
      <w:r w:rsidRPr="00752232">
        <w:rPr>
          <w:rFonts w:ascii="Garamond" w:hAnsi="Garamond" w:cstheme="majorBidi"/>
          <w:b/>
          <w:bCs/>
          <w:sz w:val="28"/>
          <w:szCs w:val="28"/>
          <w:lang w:val="en-US"/>
        </w:rPr>
        <w:t xml:space="preserve"> (Due Saturday</w:t>
      </w:r>
      <w:r w:rsidR="004542C5" w:rsidRPr="004542C5">
        <w:rPr>
          <w:rFonts w:ascii="Garamond" w:hAnsi="Garamond" w:cstheme="majorBidi"/>
          <w:b/>
          <w:bCs/>
          <w:sz w:val="28"/>
          <w:szCs w:val="28"/>
          <w:lang w:val="en-US"/>
        </w:rPr>
        <w:t xml:space="preserve"> </w:t>
      </w:r>
      <w:r w:rsidR="004542C5">
        <w:rPr>
          <w:rFonts w:ascii="Garamond" w:hAnsi="Garamond" w:cstheme="majorBidi"/>
          <w:b/>
          <w:bCs/>
          <w:sz w:val="28"/>
          <w:szCs w:val="28"/>
          <w:lang w:val="en-US"/>
        </w:rPr>
        <w:t>April</w:t>
      </w:r>
      <w:r w:rsidRPr="00752232">
        <w:rPr>
          <w:rFonts w:ascii="Garamond" w:hAnsi="Garamond" w:cstheme="majorBidi"/>
          <w:b/>
          <w:bCs/>
          <w:sz w:val="28"/>
          <w:szCs w:val="28"/>
          <w:lang w:val="en-US"/>
        </w:rPr>
        <w:t xml:space="preserve"> </w:t>
      </w:r>
      <w:r w:rsidR="00025816">
        <w:rPr>
          <w:rFonts w:ascii="Garamond" w:hAnsi="Garamond" w:cstheme="majorBidi"/>
          <w:b/>
          <w:bCs/>
          <w:sz w:val="28"/>
          <w:szCs w:val="28"/>
          <w:lang w:val="en-US"/>
        </w:rPr>
        <w:t>29</w:t>
      </w:r>
      <w:r w:rsidR="00025816" w:rsidRPr="00025816">
        <w:rPr>
          <w:rFonts w:ascii="Garamond" w:hAnsi="Garamond" w:cstheme="majorBidi"/>
          <w:b/>
          <w:bCs/>
          <w:sz w:val="28"/>
          <w:szCs w:val="28"/>
          <w:vertAlign w:val="superscript"/>
          <w:lang w:val="en-US"/>
        </w:rPr>
        <w:t>th</w:t>
      </w:r>
      <w:r w:rsidRPr="00752232">
        <w:rPr>
          <w:rFonts w:ascii="Garamond" w:hAnsi="Garamond" w:cstheme="majorBidi"/>
          <w:b/>
          <w:bCs/>
          <w:sz w:val="28"/>
          <w:szCs w:val="28"/>
          <w:lang w:val="en-US"/>
        </w:rPr>
        <w:t>)</w:t>
      </w:r>
    </w:p>
    <w:p w14:paraId="55004ED4" w14:textId="4464BC06" w:rsidR="00752232" w:rsidRPr="00752232" w:rsidRDefault="00752232" w:rsidP="00027063">
      <w:pPr>
        <w:spacing w:line="360" w:lineRule="auto"/>
        <w:jc w:val="both"/>
        <w:rPr>
          <w:rFonts w:ascii="Garamond" w:hAnsi="Garamond" w:cstheme="majorBidi" w:hint="cs"/>
          <w:sz w:val="28"/>
          <w:szCs w:val="28"/>
          <w:u w:val="single"/>
          <w:rtl/>
          <w:lang w:val="en-US"/>
        </w:rPr>
      </w:pPr>
      <w:r w:rsidRPr="00752232">
        <w:rPr>
          <w:rFonts w:ascii="Garamond" w:hAnsi="Garamond" w:cstheme="majorBidi"/>
          <w:sz w:val="28"/>
          <w:szCs w:val="28"/>
          <w:u w:val="single"/>
          <w:lang w:val="en-US"/>
        </w:rPr>
        <w:t>Omry Yoresh – ID: 20588769-8</w:t>
      </w:r>
    </w:p>
    <w:p w14:paraId="38E6B71B" w14:textId="28F4F338" w:rsidR="00752232" w:rsidRPr="00752232" w:rsidRDefault="00752232" w:rsidP="00027063">
      <w:pPr>
        <w:pStyle w:val="Default"/>
        <w:spacing w:line="360" w:lineRule="auto"/>
        <w:jc w:val="both"/>
        <w:rPr>
          <w:rFonts w:ascii="Garamond" w:hAnsi="Garamond"/>
          <w:b/>
          <w:bCs/>
        </w:rPr>
      </w:pPr>
      <w:r w:rsidRPr="00752232">
        <w:rPr>
          <w:rFonts w:ascii="Garamond" w:hAnsi="Garamond"/>
          <w:b/>
          <w:bCs/>
        </w:rPr>
        <w:t>Part 1:</w:t>
      </w:r>
    </w:p>
    <w:p w14:paraId="3D4F212C" w14:textId="07DD0412" w:rsidR="00752232" w:rsidRPr="00B94AE7" w:rsidRDefault="00752232" w:rsidP="00027063">
      <w:pPr>
        <w:pStyle w:val="ListParagraph"/>
        <w:numPr>
          <w:ilvl w:val="0"/>
          <w:numId w:val="1"/>
        </w:numPr>
        <w:spacing w:line="360" w:lineRule="auto"/>
        <w:jc w:val="both"/>
        <w:rPr>
          <w:rFonts w:ascii="Garamond" w:hAnsi="Garamond" w:cstheme="majorBidi"/>
          <w:lang w:val="en-US"/>
        </w:rPr>
      </w:pPr>
      <w:r w:rsidRPr="00B94AE7">
        <w:rPr>
          <w:rFonts w:ascii="Garamond" w:hAnsi="Garamond"/>
        </w:rPr>
        <w:t xml:space="preserve"> Indicate whether the following statements are True/False/Uncertain and explain why. The explanation is the key part of your answer.</w:t>
      </w:r>
    </w:p>
    <w:p w14:paraId="2B54BA2A" w14:textId="7C5ECD92" w:rsidR="00A32103" w:rsidRPr="00B94AE7" w:rsidRDefault="00A32103" w:rsidP="00B14374">
      <w:pPr>
        <w:pStyle w:val="ListParagraph"/>
        <w:numPr>
          <w:ilvl w:val="0"/>
          <w:numId w:val="7"/>
        </w:numPr>
        <w:spacing w:line="360" w:lineRule="auto"/>
        <w:jc w:val="both"/>
        <w:rPr>
          <w:rFonts w:ascii="Garamond" w:hAnsi="Garamond" w:cstheme="majorBidi"/>
          <w:u w:val="single"/>
          <w:lang w:val="en-US"/>
        </w:rPr>
      </w:pPr>
      <w:r w:rsidRPr="00B94AE7">
        <w:rPr>
          <w:rFonts w:ascii="Garamond" w:hAnsi="Garamond" w:cstheme="majorBidi"/>
          <w:u w:val="single"/>
          <w:lang w:val="en-US"/>
        </w:rPr>
        <w:t>“</w:t>
      </w:r>
      <w:r w:rsidR="00025816" w:rsidRPr="00025816">
        <w:rPr>
          <w:rFonts w:ascii="Garamond" w:hAnsi="Garamond" w:cstheme="majorBidi"/>
          <w:u w:val="single"/>
          <w:lang w:val="en-US"/>
        </w:rPr>
        <w:t xml:space="preserve">Assuming diminishing returns to schooling, the cross-sectional relationship between log wages and schooling should be </w:t>
      </w:r>
      <w:r w:rsidR="00025816" w:rsidRPr="00025816">
        <w:rPr>
          <w:rFonts w:ascii="Garamond" w:hAnsi="Garamond" w:cstheme="majorBidi"/>
          <w:u w:val="single"/>
          <w:lang w:val="en-US"/>
        </w:rPr>
        <w:t>concave.</w:t>
      </w:r>
      <w:r w:rsidRPr="00B94AE7">
        <w:rPr>
          <w:rFonts w:ascii="Garamond" w:hAnsi="Garamond" w:cstheme="majorBidi"/>
          <w:u w:val="single"/>
          <w:lang w:val="en-US"/>
        </w:rPr>
        <w:t>”</w:t>
      </w:r>
    </w:p>
    <w:p w14:paraId="669DAD88" w14:textId="0C0B85B5" w:rsidR="006B1ECA" w:rsidRDefault="00234C13" w:rsidP="00B14374">
      <w:pPr>
        <w:spacing w:line="360" w:lineRule="auto"/>
        <w:ind w:left="720"/>
        <w:jc w:val="both"/>
        <w:rPr>
          <w:rFonts w:ascii="Garamond" w:hAnsi="Garamond" w:cstheme="majorBidi"/>
          <w:lang w:val="en-US"/>
        </w:rPr>
      </w:pPr>
      <w:r w:rsidRPr="00234C13">
        <w:rPr>
          <w:rFonts w:ascii="Garamond" w:hAnsi="Garamond" w:cstheme="majorBidi"/>
          <w:b/>
          <w:bCs/>
          <w:lang w:val="en-US"/>
        </w:rPr>
        <w:t>True</w:t>
      </w:r>
      <w:r>
        <w:rPr>
          <w:rFonts w:ascii="Garamond" w:hAnsi="Garamond" w:cstheme="majorBidi"/>
          <w:lang w:val="en-US"/>
        </w:rPr>
        <w:t>. If we assume diminishing returns to schooling, and schooling not being correlated with the size of the return, it’s reasonable to believe that the relationship between log wages and schooling will be concave. If we change the absence of a correlation between education and the size of the return to a positive or negative correlation, we should anticipate a convex relationship between log wages and education.</w:t>
      </w:r>
    </w:p>
    <w:p w14:paraId="637E6AC1" w14:textId="77777777" w:rsidR="00B14374" w:rsidRPr="00025816" w:rsidRDefault="00B14374" w:rsidP="00234C13">
      <w:pPr>
        <w:spacing w:line="360" w:lineRule="auto"/>
        <w:ind w:left="720"/>
        <w:jc w:val="both"/>
        <w:rPr>
          <w:rFonts w:ascii="Garamond" w:hAnsi="Garamond" w:cstheme="majorBidi"/>
          <w:lang w:val="en-US"/>
        </w:rPr>
      </w:pPr>
    </w:p>
    <w:p w14:paraId="308D16D8" w14:textId="5B3C9F2D" w:rsidR="00025816" w:rsidRDefault="00025816" w:rsidP="00B14374">
      <w:pPr>
        <w:pStyle w:val="ListParagraph"/>
        <w:numPr>
          <w:ilvl w:val="0"/>
          <w:numId w:val="7"/>
        </w:numPr>
        <w:spacing w:line="360" w:lineRule="auto"/>
        <w:jc w:val="both"/>
        <w:rPr>
          <w:rFonts w:ascii="Garamond" w:hAnsi="Garamond" w:cstheme="majorBidi"/>
          <w:u w:val="single"/>
          <w:lang w:val="en-US"/>
        </w:rPr>
      </w:pPr>
      <w:r w:rsidRPr="00025816">
        <w:rPr>
          <w:rFonts w:ascii="Garamond" w:hAnsi="Garamond" w:cstheme="majorBidi"/>
          <w:u w:val="single"/>
          <w:lang w:val="en-US"/>
        </w:rPr>
        <w:t>"In a pure signaling model, education provides no social benefit."</w:t>
      </w:r>
    </w:p>
    <w:p w14:paraId="6314DF55" w14:textId="4FDE061D" w:rsidR="00025816" w:rsidRPr="00025816" w:rsidRDefault="00234C13" w:rsidP="00B14374">
      <w:pPr>
        <w:spacing w:line="360" w:lineRule="auto"/>
        <w:ind w:left="720"/>
        <w:jc w:val="both"/>
        <w:rPr>
          <w:rFonts w:ascii="Garamond" w:hAnsi="Garamond" w:cstheme="majorBidi"/>
          <w:u w:val="single"/>
          <w:lang w:val="en-US"/>
        </w:rPr>
      </w:pPr>
      <w:r w:rsidRPr="00234C13">
        <w:rPr>
          <w:rFonts w:ascii="Garamond" w:hAnsi="Garamond" w:cstheme="majorBidi"/>
          <w:b/>
          <w:bCs/>
          <w:lang w:val="en-US"/>
        </w:rPr>
        <w:t>False.</w:t>
      </w:r>
      <w:r>
        <w:rPr>
          <w:rFonts w:ascii="Garamond" w:hAnsi="Garamond" w:cstheme="majorBidi"/>
          <w:b/>
          <w:bCs/>
          <w:lang w:val="en-US"/>
        </w:rPr>
        <w:t xml:space="preserve"> </w:t>
      </w:r>
      <w:r>
        <w:rPr>
          <w:rFonts w:ascii="Garamond" w:hAnsi="Garamond" w:cstheme="majorBidi"/>
          <w:lang w:val="en-US"/>
        </w:rPr>
        <w:t>Education levels provide a signal to employers regarding the capabilities of potential employees, which in turn improves the efficiency with which workers are allocated.</w:t>
      </w:r>
    </w:p>
    <w:p w14:paraId="73324D26" w14:textId="77777777" w:rsidR="00025816" w:rsidRDefault="00025816" w:rsidP="002F6570">
      <w:pPr>
        <w:pStyle w:val="Default"/>
        <w:spacing w:line="360" w:lineRule="auto"/>
        <w:jc w:val="both"/>
        <w:rPr>
          <w:rFonts w:ascii="Garamond" w:hAnsi="Garamond"/>
          <w:b/>
          <w:bCs/>
        </w:rPr>
      </w:pPr>
    </w:p>
    <w:p w14:paraId="56A34A78" w14:textId="555D311F" w:rsidR="000402AA" w:rsidRPr="002F6570" w:rsidRDefault="00E76103" w:rsidP="002F6570">
      <w:pPr>
        <w:pStyle w:val="Default"/>
        <w:spacing w:line="360" w:lineRule="auto"/>
        <w:jc w:val="both"/>
        <w:rPr>
          <w:rFonts w:ascii="Garamond" w:hAnsi="Garamond"/>
          <w:b/>
          <w:bCs/>
        </w:rPr>
      </w:pPr>
      <w:r w:rsidRPr="00B94AE7">
        <w:rPr>
          <w:rFonts w:ascii="Garamond" w:hAnsi="Garamond"/>
          <w:b/>
          <w:bCs/>
        </w:rPr>
        <w:t xml:space="preserve">Part 2: </w:t>
      </w:r>
    </w:p>
    <w:p w14:paraId="533350F9" w14:textId="77777777" w:rsid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How does Oreopoulos estimate the returns to schooling?</w:t>
      </w:r>
    </w:p>
    <w:p w14:paraId="47BF41C7" w14:textId="3DCD2F7A" w:rsidR="00025816" w:rsidRDefault="005D1D98" w:rsidP="005D1D98">
      <w:pPr>
        <w:spacing w:line="360" w:lineRule="auto"/>
        <w:ind w:left="360"/>
        <w:jc w:val="both"/>
        <w:rPr>
          <w:rFonts w:ascii="Garamond" w:hAnsi="Garamond" w:cstheme="majorBidi"/>
          <w:lang w:val="en-US"/>
        </w:rPr>
      </w:pPr>
      <w:proofErr w:type="spellStart"/>
      <w:r>
        <w:rPr>
          <w:rFonts w:ascii="Garamond" w:hAnsi="Garamond" w:cstheme="majorBidi"/>
          <w:lang w:val="en-US"/>
        </w:rPr>
        <w:t>Oreopoulos</w:t>
      </w:r>
      <w:proofErr w:type="spellEnd"/>
      <w:r>
        <w:rPr>
          <w:rFonts w:ascii="Garamond" w:hAnsi="Garamond" w:cstheme="majorBidi"/>
          <w:lang w:val="en-US"/>
        </w:rPr>
        <w:t xml:space="preserve"> estimates the return to schooling using a regression discontinuity design that accounts for changes in the United Kingdom's minimum age to leave school. In England, the reform was from the age of 14 to 15 in 1947, and in Northern Ireland, it was from the age of 14 to 15 in 1957. Because the reform increased most students' schooling years by one year, the comparison in the paper estimates the return to one more year of schooling, specifically for kids at the age of 14 to 15.</w:t>
      </w:r>
    </w:p>
    <w:p w14:paraId="4B851050" w14:textId="77777777" w:rsidR="007C64C0" w:rsidRPr="00025816" w:rsidRDefault="007C64C0" w:rsidP="005D1D98">
      <w:pPr>
        <w:spacing w:line="360" w:lineRule="auto"/>
        <w:ind w:left="360"/>
        <w:jc w:val="both"/>
        <w:rPr>
          <w:rFonts w:ascii="Garamond" w:hAnsi="Garamond" w:cstheme="majorBidi"/>
          <w:u w:val="single"/>
          <w:lang w:val="en-US"/>
        </w:rPr>
      </w:pPr>
    </w:p>
    <w:p w14:paraId="34E6B370"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 xml:space="preserve">What are the advantages and limitations of his research design? </w:t>
      </w:r>
    </w:p>
    <w:p w14:paraId="5149694A" w14:textId="260FB9DE" w:rsidR="007C64C0" w:rsidRPr="005D1D98" w:rsidRDefault="007C64C0" w:rsidP="007C64C0">
      <w:pPr>
        <w:spacing w:line="360" w:lineRule="auto"/>
        <w:ind w:left="360"/>
        <w:jc w:val="both"/>
        <w:rPr>
          <w:rFonts w:ascii="Garamond" w:hAnsi="Garamond" w:cstheme="majorBidi" w:hint="cs"/>
          <w:rtl/>
          <w:lang w:val="en-US"/>
        </w:rPr>
      </w:pPr>
      <w:r>
        <w:rPr>
          <w:rFonts w:ascii="Garamond" w:hAnsi="Garamond" w:cstheme="majorBidi"/>
          <w:lang w:val="en-US"/>
        </w:rPr>
        <w:t xml:space="preserve">This research design has some advantages, particularly in the context of the United Kingdom’s reform. The reform impacted a substantial percentage of the population, and the proportion of 14-year-old dropouts decreased as a result. This suggests that the estimation is closer to the ATE estimation rather than a tiny section of the population being influenced in research using an IV and identifying a LATE estimation. </w:t>
      </w:r>
      <w:r>
        <w:rPr>
          <w:rFonts w:ascii="Garamond" w:hAnsi="Garamond" w:cstheme="majorBidi"/>
          <w:lang w:val="en-US"/>
        </w:rPr>
        <w:t xml:space="preserve">Although this reform influenced over half of the population, </w:t>
      </w:r>
      <w:r>
        <w:rPr>
          <w:rFonts w:ascii="Garamond" w:hAnsi="Garamond" w:cstheme="majorBidi"/>
          <w:lang w:val="en-US"/>
        </w:rPr>
        <w:lastRenderedPageBreak/>
        <w:t>it appears that those who participated had a lower baseline level of education, and the return may vary across different grades in school.</w:t>
      </w:r>
    </w:p>
    <w:p w14:paraId="08F5DAD7" w14:textId="08592A1B" w:rsidR="007C64C0" w:rsidRDefault="007C64C0" w:rsidP="007C64C0">
      <w:pPr>
        <w:spacing w:line="360" w:lineRule="auto"/>
        <w:ind w:left="360"/>
        <w:jc w:val="both"/>
        <w:rPr>
          <w:rFonts w:ascii="Garamond" w:hAnsi="Garamond" w:cstheme="majorBidi"/>
          <w:lang w:val="en-US"/>
        </w:rPr>
      </w:pPr>
      <w:r>
        <w:rPr>
          <w:rFonts w:ascii="Garamond" w:hAnsi="Garamond" w:cstheme="majorBidi"/>
          <w:lang w:val="en-US"/>
        </w:rPr>
        <w:t xml:space="preserve">However, the external validity is called into question. Since the program was implemented in 1947, the labor market and education systems have changed dramatically, and such projections are no longer applicable for current policy (although it might be relevant in an historical context, which might be important). </w:t>
      </w:r>
    </w:p>
    <w:p w14:paraId="24326063" w14:textId="77777777" w:rsidR="007C64C0" w:rsidRDefault="007C64C0" w:rsidP="007C64C0">
      <w:pPr>
        <w:spacing w:line="360" w:lineRule="auto"/>
        <w:ind w:left="360"/>
        <w:jc w:val="both"/>
        <w:rPr>
          <w:rFonts w:ascii="Garamond" w:hAnsi="Garamond" w:cstheme="majorBidi"/>
          <w:lang w:val="en-US"/>
        </w:rPr>
      </w:pPr>
    </w:p>
    <w:p w14:paraId="3FE18070" w14:textId="2A17DD32" w:rsidR="00025816" w:rsidRPr="007C64C0" w:rsidRDefault="00025816" w:rsidP="007C64C0">
      <w:pPr>
        <w:pStyle w:val="ListParagraph"/>
        <w:numPr>
          <w:ilvl w:val="0"/>
          <w:numId w:val="3"/>
        </w:numPr>
        <w:spacing w:line="360" w:lineRule="auto"/>
        <w:jc w:val="both"/>
        <w:rPr>
          <w:rFonts w:ascii="Garamond" w:hAnsi="Garamond" w:cstheme="majorBidi"/>
          <w:u w:val="single"/>
          <w:lang w:val="en-US"/>
        </w:rPr>
      </w:pPr>
      <w:r w:rsidRPr="007C64C0">
        <w:rPr>
          <w:rFonts w:ascii="Garamond" w:hAnsi="Garamond" w:cstheme="majorBidi"/>
          <w:u w:val="single"/>
          <w:lang w:val="en-US"/>
        </w:rPr>
        <w:t xml:space="preserve">What does he find in the UK? </w:t>
      </w:r>
    </w:p>
    <w:p w14:paraId="5940F7EF" w14:textId="51B3EB57" w:rsidR="00025816" w:rsidRDefault="00AD4CC4" w:rsidP="00AD4CC4">
      <w:pPr>
        <w:spacing w:line="360" w:lineRule="auto"/>
        <w:ind w:left="360"/>
        <w:jc w:val="both"/>
        <w:rPr>
          <w:rFonts w:ascii="Garamond" w:hAnsi="Garamond" w:cstheme="majorBidi"/>
          <w:lang w:val="en-US"/>
        </w:rPr>
      </w:pPr>
      <w:r w:rsidRPr="00AD4CC4">
        <w:rPr>
          <w:rFonts w:ascii="Garamond" w:hAnsi="Garamond" w:cstheme="majorBidi"/>
          <w:lang w:val="en-US"/>
        </w:rPr>
        <w:t>According to the study's findings, the annual gain in wages from</w:t>
      </w:r>
      <w:r>
        <w:rPr>
          <w:rFonts w:ascii="Garamond" w:hAnsi="Garamond" w:cstheme="majorBidi"/>
          <w:lang w:val="en-US"/>
        </w:rPr>
        <w:t xml:space="preserve"> a year of schooling in this specific reform</w:t>
      </w:r>
      <w:r w:rsidRPr="00AD4CC4">
        <w:rPr>
          <w:rFonts w:ascii="Garamond" w:hAnsi="Garamond" w:cstheme="majorBidi"/>
          <w:lang w:val="en-US"/>
        </w:rPr>
        <w:t xml:space="preserve"> is between 10% and 14%. Furthermore, the article discovers that compulsory schooling has a good </w:t>
      </w:r>
      <w:r>
        <w:rPr>
          <w:rFonts w:ascii="Garamond" w:hAnsi="Garamond" w:cstheme="majorBidi"/>
          <w:lang w:val="en-US"/>
        </w:rPr>
        <w:t>impact</w:t>
      </w:r>
      <w:r w:rsidRPr="00AD4CC4">
        <w:rPr>
          <w:rFonts w:ascii="Garamond" w:hAnsi="Garamond" w:cstheme="majorBidi"/>
          <w:lang w:val="en-US"/>
        </w:rPr>
        <w:t xml:space="preserve"> on</w:t>
      </w:r>
      <w:r>
        <w:rPr>
          <w:rFonts w:ascii="Garamond" w:hAnsi="Garamond" w:cstheme="majorBidi"/>
          <w:lang w:val="en-US"/>
        </w:rPr>
        <w:t xml:space="preserve"> those same individuals’</w:t>
      </w:r>
      <w:r w:rsidRPr="00AD4CC4">
        <w:rPr>
          <w:rFonts w:ascii="Garamond" w:hAnsi="Garamond" w:cstheme="majorBidi"/>
          <w:lang w:val="en-US"/>
        </w:rPr>
        <w:t xml:space="preserve"> health and employment.</w:t>
      </w:r>
    </w:p>
    <w:p w14:paraId="28A2A643" w14:textId="77777777" w:rsidR="00AD4CC4" w:rsidRPr="00AD4CC4" w:rsidRDefault="00AD4CC4" w:rsidP="00AD4CC4">
      <w:pPr>
        <w:spacing w:line="360" w:lineRule="auto"/>
        <w:ind w:left="360"/>
        <w:jc w:val="both"/>
        <w:rPr>
          <w:rFonts w:ascii="Garamond" w:hAnsi="Garamond" w:cstheme="majorBidi"/>
          <w:lang w:val="en-US"/>
        </w:rPr>
      </w:pPr>
    </w:p>
    <w:p w14:paraId="299E8D5C"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What do we learn from the comparisons with the US and Canada?</w:t>
      </w:r>
    </w:p>
    <w:p w14:paraId="362F39E5" w14:textId="77777777" w:rsidR="00AD4CC4" w:rsidRDefault="00AD4CC4" w:rsidP="00025816">
      <w:pPr>
        <w:pStyle w:val="ListParagraph"/>
        <w:spacing w:line="360" w:lineRule="auto"/>
        <w:ind w:left="360"/>
        <w:jc w:val="both"/>
        <w:rPr>
          <w:rFonts w:ascii="Garamond" w:hAnsi="Garamond" w:cstheme="majorBidi"/>
          <w:lang w:val="en-US"/>
        </w:rPr>
      </w:pPr>
      <w:r>
        <w:rPr>
          <w:rFonts w:ascii="Garamond" w:hAnsi="Garamond" w:cstheme="majorBidi"/>
          <w:lang w:val="en-US"/>
        </w:rPr>
        <w:t xml:space="preserve">The paper compares </w:t>
      </w:r>
      <w:r w:rsidRPr="00AD4CC4">
        <w:rPr>
          <w:rFonts w:ascii="Garamond" w:hAnsi="Garamond" w:cstheme="majorBidi"/>
          <w:lang w:val="en-US"/>
        </w:rPr>
        <w:t>the United Kingdom</w:t>
      </w:r>
      <w:r>
        <w:rPr>
          <w:rFonts w:ascii="Garamond" w:hAnsi="Garamond" w:cstheme="majorBidi"/>
          <w:lang w:val="en-US"/>
        </w:rPr>
        <w:t>’s result</w:t>
      </w:r>
      <w:r w:rsidRPr="00AD4CC4">
        <w:rPr>
          <w:rFonts w:ascii="Garamond" w:hAnsi="Garamond" w:cstheme="majorBidi"/>
          <w:lang w:val="en-US"/>
        </w:rPr>
        <w:t>, where a substantial number of students were affected by the policy change</w:t>
      </w:r>
      <w:r>
        <w:rPr>
          <w:rFonts w:ascii="Garamond" w:hAnsi="Garamond" w:cstheme="majorBidi"/>
          <w:lang w:val="en-US"/>
        </w:rPr>
        <w:t>,</w:t>
      </w:r>
      <w:r w:rsidRPr="00AD4CC4">
        <w:rPr>
          <w:rFonts w:ascii="Garamond" w:hAnsi="Garamond" w:cstheme="majorBidi"/>
          <w:lang w:val="en-US"/>
        </w:rPr>
        <w:t xml:space="preserve"> to the results in the United States and Canada, where identical policies affected far fewer students. Thus, </w:t>
      </w:r>
      <w:proofErr w:type="spellStart"/>
      <w:r>
        <w:rPr>
          <w:rFonts w:ascii="Garamond" w:hAnsi="Garamond" w:cstheme="majorBidi"/>
          <w:lang w:val="en-US"/>
        </w:rPr>
        <w:t>Oreopoulos</w:t>
      </w:r>
      <w:proofErr w:type="spellEnd"/>
      <w:r>
        <w:rPr>
          <w:rFonts w:ascii="Garamond" w:hAnsi="Garamond" w:cstheme="majorBidi"/>
          <w:lang w:val="en-US"/>
        </w:rPr>
        <w:t xml:space="preserve"> </w:t>
      </w:r>
      <w:r w:rsidRPr="00AD4CC4">
        <w:rPr>
          <w:rFonts w:ascii="Garamond" w:hAnsi="Garamond" w:cstheme="majorBidi"/>
          <w:lang w:val="en-US"/>
        </w:rPr>
        <w:t xml:space="preserve">contends that the comparison can give evidence of whether the LATE surpasses the ATE, as many academics have proposed as an explanation for why IV estimates of return to education frequently exceed OLS estimates. </w:t>
      </w:r>
    </w:p>
    <w:p w14:paraId="11860172" w14:textId="2A7DC65A" w:rsidR="00025816" w:rsidRDefault="00AD4CC4" w:rsidP="00025816">
      <w:pPr>
        <w:pStyle w:val="ListParagraph"/>
        <w:spacing w:line="360" w:lineRule="auto"/>
        <w:ind w:left="360"/>
        <w:jc w:val="both"/>
        <w:rPr>
          <w:rFonts w:ascii="Garamond" w:hAnsi="Garamond" w:cstheme="majorBidi"/>
          <w:lang w:val="en-US"/>
        </w:rPr>
      </w:pPr>
      <w:r w:rsidRPr="00AD4CC4">
        <w:rPr>
          <w:rFonts w:ascii="Garamond" w:hAnsi="Garamond" w:cstheme="majorBidi"/>
          <w:lang w:val="en-US"/>
        </w:rPr>
        <w:t xml:space="preserve">Because the estimations produced for Britain are of comparable scale to those found for Canada and the United States, </w:t>
      </w:r>
      <w:proofErr w:type="spellStart"/>
      <w:r w:rsidRPr="00AD4CC4">
        <w:rPr>
          <w:rFonts w:ascii="Garamond" w:hAnsi="Garamond" w:cstheme="majorBidi"/>
          <w:lang w:val="en-US"/>
        </w:rPr>
        <w:t>Oreopoulos</w:t>
      </w:r>
      <w:proofErr w:type="spellEnd"/>
      <w:r w:rsidRPr="00AD4CC4">
        <w:rPr>
          <w:rFonts w:ascii="Garamond" w:hAnsi="Garamond" w:cstheme="majorBidi"/>
          <w:lang w:val="en-US"/>
        </w:rPr>
        <w:t xml:space="preserve"> contends that the ATE and LATE are comparable.</w:t>
      </w:r>
    </w:p>
    <w:p w14:paraId="6AB2C4F7" w14:textId="77777777" w:rsidR="00AD4CC4" w:rsidRPr="00AD4CC4" w:rsidRDefault="00AD4CC4" w:rsidP="00025816">
      <w:pPr>
        <w:pStyle w:val="ListParagraph"/>
        <w:spacing w:line="360" w:lineRule="auto"/>
        <w:ind w:left="360"/>
        <w:jc w:val="both"/>
        <w:rPr>
          <w:rFonts w:ascii="Garamond" w:hAnsi="Garamond" w:cstheme="majorBidi"/>
          <w:lang w:val="en-US"/>
        </w:rPr>
      </w:pPr>
    </w:p>
    <w:p w14:paraId="11996043"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t xml:space="preserve">Given the large returns, why were so many British students dropping out before the reform? </w:t>
      </w:r>
    </w:p>
    <w:p w14:paraId="58A5AE45" w14:textId="7A86DAF4" w:rsidR="00025816" w:rsidRPr="00AD4CC4" w:rsidRDefault="00AD4CC4" w:rsidP="00AD4CC4">
      <w:pPr>
        <w:spacing w:line="360" w:lineRule="auto"/>
        <w:ind w:left="360"/>
        <w:jc w:val="both"/>
        <w:rPr>
          <w:rFonts w:ascii="Garamond" w:hAnsi="Garamond" w:cstheme="majorBidi"/>
        </w:rPr>
      </w:pPr>
      <w:r w:rsidRPr="00AD4CC4">
        <w:rPr>
          <w:rFonts w:ascii="Garamond" w:hAnsi="Garamond" w:cstheme="majorBidi"/>
        </w:rPr>
        <w:t xml:space="preserve">Oreopoulos provides various reasons for why children dropped out of school at age 14 prior to the reform, despite the high returns. The first possible reason is that those who drop out of school are unable to delay receiving money in order to raise it due to credit constraints. </w:t>
      </w:r>
      <w:r>
        <w:rPr>
          <w:rFonts w:ascii="Garamond" w:hAnsi="Garamond" w:cstheme="majorBidi"/>
          <w:lang w:val="en-US"/>
        </w:rPr>
        <w:t xml:space="preserve">The second reason being is the </w:t>
      </w:r>
      <w:r w:rsidRPr="00AD4CC4">
        <w:rPr>
          <w:rFonts w:ascii="Garamond" w:hAnsi="Garamond" w:cstheme="majorBidi"/>
        </w:rPr>
        <w:t>negative attitudes toward</w:t>
      </w:r>
      <w:r w:rsidR="007B23DD">
        <w:rPr>
          <w:rFonts w:ascii="Garamond" w:hAnsi="Garamond" w:cstheme="majorBidi"/>
          <w:lang w:val="en-US"/>
        </w:rPr>
        <w:t xml:space="preserve"> education after 14 years of schooling.</w:t>
      </w:r>
      <w:r w:rsidRPr="00AD4CC4">
        <w:rPr>
          <w:rFonts w:ascii="Garamond" w:hAnsi="Garamond" w:cstheme="majorBidi"/>
        </w:rPr>
        <w:t xml:space="preserve"> </w:t>
      </w:r>
      <w:r w:rsidR="007B23DD">
        <w:rPr>
          <w:rFonts w:ascii="Garamond" w:hAnsi="Garamond" w:cstheme="majorBidi"/>
          <w:lang w:val="en-US"/>
        </w:rPr>
        <w:t xml:space="preserve">The third reason suggested in the paper is that </w:t>
      </w:r>
      <w:r w:rsidRPr="00AD4CC4">
        <w:rPr>
          <w:rFonts w:ascii="Garamond" w:hAnsi="Garamond" w:cstheme="majorBidi"/>
        </w:rPr>
        <w:t>dropouts may be</w:t>
      </w:r>
      <w:r w:rsidR="007B23DD">
        <w:rPr>
          <w:rFonts w:ascii="Garamond" w:hAnsi="Garamond" w:cstheme="majorBidi"/>
          <w:lang w:val="en-US"/>
        </w:rPr>
        <w:t xml:space="preserve"> risk averse and therefore</w:t>
      </w:r>
      <w:r w:rsidRPr="00AD4CC4">
        <w:rPr>
          <w:rFonts w:ascii="Garamond" w:hAnsi="Garamond" w:cstheme="majorBidi"/>
        </w:rPr>
        <w:t xml:space="preserve"> unwilling to accept the chance that continuing their education will boost their future earning</w:t>
      </w:r>
      <w:r w:rsidR="007B23DD">
        <w:rPr>
          <w:rFonts w:ascii="Garamond" w:hAnsi="Garamond" w:cstheme="majorBidi"/>
          <w:lang w:val="en-US"/>
        </w:rPr>
        <w:t>s</w:t>
      </w:r>
      <w:r w:rsidRPr="00AD4CC4">
        <w:rPr>
          <w:rFonts w:ascii="Garamond" w:hAnsi="Garamond" w:cstheme="majorBidi"/>
        </w:rPr>
        <w:t xml:space="preserve">. </w:t>
      </w:r>
      <w:r w:rsidR="007B23DD">
        <w:rPr>
          <w:rFonts w:ascii="Garamond" w:hAnsi="Garamond" w:cstheme="majorBidi"/>
          <w:lang w:val="en-US"/>
        </w:rPr>
        <w:t>Lastly</w:t>
      </w:r>
      <w:r w:rsidR="007B23DD" w:rsidRPr="00AD4CC4">
        <w:rPr>
          <w:rFonts w:ascii="Garamond" w:hAnsi="Garamond" w:cstheme="majorBidi"/>
        </w:rPr>
        <w:t>,</w:t>
      </w:r>
      <w:r w:rsidR="007B23DD">
        <w:rPr>
          <w:rFonts w:ascii="Garamond" w:hAnsi="Garamond" w:cstheme="majorBidi"/>
          <w:lang w:val="en-US"/>
        </w:rPr>
        <w:t xml:space="preserve"> it might be </w:t>
      </w:r>
      <w:r w:rsidRPr="00AD4CC4">
        <w:rPr>
          <w:rFonts w:ascii="Garamond" w:hAnsi="Garamond" w:cstheme="majorBidi"/>
        </w:rPr>
        <w:t xml:space="preserve">that dropouts heavily </w:t>
      </w:r>
      <w:r w:rsidR="007B23DD">
        <w:rPr>
          <w:rFonts w:ascii="Garamond" w:hAnsi="Garamond" w:cstheme="majorBidi"/>
          <w:lang w:val="en-US"/>
        </w:rPr>
        <w:t>discount</w:t>
      </w:r>
      <w:r w:rsidRPr="00AD4CC4">
        <w:rPr>
          <w:rFonts w:ascii="Garamond" w:hAnsi="Garamond" w:cstheme="majorBidi"/>
        </w:rPr>
        <w:t xml:space="preserve"> the future and would rather have lower earnings right now than higher earnings in the long run.</w:t>
      </w:r>
    </w:p>
    <w:p w14:paraId="5FCA73B1" w14:textId="77777777" w:rsidR="00AD4CC4" w:rsidRPr="00025816" w:rsidRDefault="00AD4CC4" w:rsidP="00025816">
      <w:pPr>
        <w:spacing w:line="360" w:lineRule="auto"/>
        <w:jc w:val="both"/>
        <w:rPr>
          <w:rFonts w:ascii="Garamond" w:hAnsi="Garamond" w:cstheme="majorBidi"/>
          <w:u w:val="single"/>
        </w:rPr>
      </w:pPr>
    </w:p>
    <w:p w14:paraId="38633233" w14:textId="77777777" w:rsidR="00025816" w:rsidRPr="00025816" w:rsidRDefault="00025816" w:rsidP="00025816">
      <w:pPr>
        <w:pStyle w:val="ListParagraph"/>
        <w:numPr>
          <w:ilvl w:val="0"/>
          <w:numId w:val="3"/>
        </w:numPr>
        <w:spacing w:line="360" w:lineRule="auto"/>
        <w:jc w:val="both"/>
        <w:rPr>
          <w:rFonts w:ascii="Garamond" w:hAnsi="Garamond" w:cstheme="majorBidi"/>
          <w:u w:val="single"/>
          <w:lang w:val="en-US"/>
        </w:rPr>
      </w:pPr>
      <w:r w:rsidRPr="00025816">
        <w:rPr>
          <w:rFonts w:ascii="Garamond" w:hAnsi="Garamond" w:cstheme="majorBidi"/>
          <w:u w:val="single"/>
          <w:lang w:val="en-US"/>
        </w:rPr>
        <w:lastRenderedPageBreak/>
        <w:t xml:space="preserve">What do Devereux and Hart find? Why do their results differ from </w:t>
      </w:r>
      <w:proofErr w:type="spellStart"/>
      <w:r w:rsidRPr="00025816">
        <w:rPr>
          <w:rFonts w:ascii="Garamond" w:hAnsi="Garamond" w:cstheme="majorBidi"/>
          <w:u w:val="single"/>
          <w:lang w:val="en-US"/>
        </w:rPr>
        <w:t>Oreopoulos's</w:t>
      </w:r>
      <w:proofErr w:type="spellEnd"/>
      <w:r w:rsidRPr="00025816">
        <w:rPr>
          <w:rFonts w:ascii="Garamond" w:hAnsi="Garamond" w:cstheme="majorBidi"/>
          <w:u w:val="single"/>
          <w:lang w:val="en-US"/>
        </w:rPr>
        <w:t>? What are the implications for your answer to question 5?</w:t>
      </w:r>
    </w:p>
    <w:p w14:paraId="36AAA300" w14:textId="02013E5D" w:rsidR="00316071" w:rsidRDefault="007B23DD" w:rsidP="00A641BD">
      <w:pPr>
        <w:spacing w:line="360" w:lineRule="auto"/>
        <w:ind w:left="360"/>
        <w:jc w:val="both"/>
        <w:rPr>
          <w:rFonts w:ascii="Garamond" w:hAnsi="Garamond" w:cstheme="majorBidi"/>
          <w:lang w:val="en-US"/>
        </w:rPr>
      </w:pPr>
      <w:r>
        <w:rPr>
          <w:rFonts w:ascii="Garamond" w:hAnsi="Garamond" w:cstheme="majorBidi"/>
          <w:lang w:val="en-US"/>
        </w:rPr>
        <w:t xml:space="preserve">Devereux and Hart find a substantially lower return to education, of </w:t>
      </w:r>
      <w:r w:rsidRPr="007B23DD">
        <w:rPr>
          <w:rFonts w:ascii="Garamond" w:hAnsi="Garamond" w:cstheme="majorBidi"/>
          <w:lang w:val="en-US"/>
        </w:rPr>
        <w:t>about 3% on average with no evidence of any positive return for women and a return for men of 4-7%.</w:t>
      </w:r>
      <w:r>
        <w:rPr>
          <w:rFonts w:ascii="Garamond" w:hAnsi="Garamond" w:cstheme="majorBidi"/>
          <w:lang w:val="en-US"/>
        </w:rPr>
        <w:t xml:space="preserve"> They explain that their results vary from </w:t>
      </w:r>
      <w:r w:rsidRPr="00AD4CC4">
        <w:rPr>
          <w:rFonts w:ascii="Garamond" w:hAnsi="Garamond" w:cstheme="majorBidi"/>
        </w:rPr>
        <w:t>Oreopoulos</w:t>
      </w:r>
      <w:r>
        <w:rPr>
          <w:rFonts w:ascii="Garamond" w:hAnsi="Garamond" w:cstheme="majorBidi"/>
          <w:lang w:val="en-US"/>
        </w:rPr>
        <w:t xml:space="preserve"> because they used the NESPD in contrast to the GHS which is used by </w:t>
      </w:r>
      <w:proofErr w:type="spellStart"/>
      <w:r>
        <w:rPr>
          <w:rFonts w:ascii="Garamond" w:hAnsi="Garamond" w:cstheme="majorBidi"/>
          <w:lang w:val="en-US"/>
        </w:rPr>
        <w:t>Oreopoulos</w:t>
      </w:r>
      <w:proofErr w:type="spellEnd"/>
      <w:r>
        <w:rPr>
          <w:rFonts w:ascii="Garamond" w:hAnsi="Garamond" w:cstheme="majorBidi"/>
          <w:lang w:val="en-US"/>
        </w:rPr>
        <w:t>. Moreover, they used a</w:t>
      </w:r>
      <w:r w:rsidR="005B329F">
        <w:rPr>
          <w:rFonts w:ascii="Garamond" w:hAnsi="Garamond" w:cstheme="majorBidi"/>
          <w:lang w:val="en-US"/>
        </w:rPr>
        <w:t>n RD approach which smoothly controlled for cohort and thus their estimates are more precise.</w:t>
      </w:r>
    </w:p>
    <w:p w14:paraId="251D62E8" w14:textId="5B29E63C" w:rsidR="005B329F" w:rsidRPr="007B23DD" w:rsidRDefault="005B329F" w:rsidP="00A641BD">
      <w:pPr>
        <w:spacing w:line="360" w:lineRule="auto"/>
        <w:ind w:left="360"/>
        <w:jc w:val="both"/>
        <w:rPr>
          <w:rFonts w:ascii="Garamond" w:hAnsi="Garamond" w:cs="Calibri"/>
          <w:b/>
          <w:bCs/>
          <w:lang w:val="en-US"/>
        </w:rPr>
      </w:pPr>
      <w:proofErr w:type="gramStart"/>
      <w:r>
        <w:rPr>
          <w:rFonts w:ascii="Garamond" w:hAnsi="Garamond" w:cstheme="majorBidi"/>
          <w:lang w:val="en-US"/>
        </w:rPr>
        <w:t>Considering the results of this study, it</w:t>
      </w:r>
      <w:proofErr w:type="gramEnd"/>
      <w:r>
        <w:rPr>
          <w:rFonts w:ascii="Garamond" w:hAnsi="Garamond" w:cstheme="majorBidi"/>
          <w:lang w:val="en-US"/>
        </w:rPr>
        <w:t xml:space="preserve"> seems that the answer to the last question might as well be that the British students dropped out because the returns were very low/ non-existent.</w:t>
      </w:r>
    </w:p>
    <w:sectPr w:rsidR="005B329F" w:rsidRPr="007B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F11BF"/>
    <w:multiLevelType w:val="hybridMultilevel"/>
    <w:tmpl w:val="8306D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C72AEF"/>
    <w:multiLevelType w:val="hybridMultilevel"/>
    <w:tmpl w:val="9FC6E74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83F21ED"/>
    <w:multiLevelType w:val="hybridMultilevel"/>
    <w:tmpl w:val="8B28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A3659"/>
    <w:multiLevelType w:val="hybridMultilevel"/>
    <w:tmpl w:val="9FC6E7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621C7E"/>
    <w:multiLevelType w:val="hybridMultilevel"/>
    <w:tmpl w:val="A4223D76"/>
    <w:lvl w:ilvl="0" w:tplc="2FB80F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B05C26"/>
    <w:multiLevelType w:val="hybridMultilevel"/>
    <w:tmpl w:val="BD4219CE"/>
    <w:lvl w:ilvl="0" w:tplc="3E76AE40">
      <w:start w:val="1"/>
      <w:numFmt w:val="decimal"/>
      <w:lvlText w:val="%1."/>
      <w:lvlJc w:val="left"/>
      <w:pPr>
        <w:ind w:left="360" w:hanging="360"/>
      </w:pPr>
      <w:rPr>
        <w:rFonts w:asciiTheme="majorBidi" w:hAnsiTheme="majorBidi" w:cstheme="majorBidi"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7A4975"/>
    <w:multiLevelType w:val="hybridMultilevel"/>
    <w:tmpl w:val="9D7C3490"/>
    <w:lvl w:ilvl="0" w:tplc="0409001B">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3399334">
    <w:abstractNumId w:val="3"/>
  </w:num>
  <w:num w:numId="2" w16cid:durableId="1054817495">
    <w:abstractNumId w:val="2"/>
  </w:num>
  <w:num w:numId="3" w16cid:durableId="1162893184">
    <w:abstractNumId w:val="1"/>
  </w:num>
  <w:num w:numId="4" w16cid:durableId="1447848937">
    <w:abstractNumId w:val="4"/>
  </w:num>
  <w:num w:numId="5" w16cid:durableId="112556928">
    <w:abstractNumId w:val="0"/>
  </w:num>
  <w:num w:numId="6" w16cid:durableId="330572595">
    <w:abstractNumId w:val="5"/>
  </w:num>
  <w:num w:numId="7" w16cid:durableId="1650939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32"/>
    <w:rsid w:val="00025816"/>
    <w:rsid w:val="00027063"/>
    <w:rsid w:val="000402AA"/>
    <w:rsid w:val="00041DF6"/>
    <w:rsid w:val="00086C47"/>
    <w:rsid w:val="00184911"/>
    <w:rsid w:val="00234C13"/>
    <w:rsid w:val="0028700A"/>
    <w:rsid w:val="002C50F0"/>
    <w:rsid w:val="002F6570"/>
    <w:rsid w:val="00316071"/>
    <w:rsid w:val="004542C5"/>
    <w:rsid w:val="004833D8"/>
    <w:rsid w:val="004A6C55"/>
    <w:rsid w:val="004B7076"/>
    <w:rsid w:val="005212D5"/>
    <w:rsid w:val="00540627"/>
    <w:rsid w:val="005B329F"/>
    <w:rsid w:val="005D1D98"/>
    <w:rsid w:val="006B1ECA"/>
    <w:rsid w:val="00752232"/>
    <w:rsid w:val="00774731"/>
    <w:rsid w:val="007B23DD"/>
    <w:rsid w:val="007C64C0"/>
    <w:rsid w:val="007E7567"/>
    <w:rsid w:val="00800623"/>
    <w:rsid w:val="00917026"/>
    <w:rsid w:val="009F3E51"/>
    <w:rsid w:val="00A114A0"/>
    <w:rsid w:val="00A32103"/>
    <w:rsid w:val="00A641BD"/>
    <w:rsid w:val="00AD4CC4"/>
    <w:rsid w:val="00B007CE"/>
    <w:rsid w:val="00B14374"/>
    <w:rsid w:val="00B542DC"/>
    <w:rsid w:val="00B94AE7"/>
    <w:rsid w:val="00BD08F9"/>
    <w:rsid w:val="00BF5BF2"/>
    <w:rsid w:val="00CC7C88"/>
    <w:rsid w:val="00D748E7"/>
    <w:rsid w:val="00D943D0"/>
    <w:rsid w:val="00DD2955"/>
    <w:rsid w:val="00E23026"/>
    <w:rsid w:val="00E4294A"/>
    <w:rsid w:val="00E64657"/>
    <w:rsid w:val="00E76103"/>
    <w:rsid w:val="00EB0584"/>
    <w:rsid w:val="00F55A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D7C4"/>
  <w15:chartTrackingRefBased/>
  <w15:docId w15:val="{B4588782-CBC2-1A44-9141-B2DEB7E0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32"/>
    <w:pPr>
      <w:ind w:left="720"/>
      <w:contextualSpacing/>
    </w:pPr>
  </w:style>
  <w:style w:type="paragraph" w:customStyle="1" w:styleId="Default">
    <w:name w:val="Default"/>
    <w:rsid w:val="00752232"/>
    <w:pPr>
      <w:autoSpaceDE w:val="0"/>
      <w:autoSpaceDN w:val="0"/>
      <w:adjustRightInd w:val="0"/>
    </w:pPr>
    <w:rPr>
      <w:rFonts w:ascii="Calibri" w:hAnsi="Calibri" w:cs="Calibri"/>
      <w:color w:val="000000"/>
      <w:kern w:val="0"/>
      <w:lang w:val="en-US"/>
    </w:rPr>
  </w:style>
  <w:style w:type="paragraph" w:styleId="NormalWeb">
    <w:name w:val="Normal (Web)"/>
    <w:basedOn w:val="Normal"/>
    <w:uiPriority w:val="99"/>
    <w:semiHidden/>
    <w:unhideWhenUsed/>
    <w:rsid w:val="00DD295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1680">
      <w:bodyDiv w:val="1"/>
      <w:marLeft w:val="0"/>
      <w:marRight w:val="0"/>
      <w:marTop w:val="0"/>
      <w:marBottom w:val="0"/>
      <w:divBdr>
        <w:top w:val="none" w:sz="0" w:space="0" w:color="auto"/>
        <w:left w:val="none" w:sz="0" w:space="0" w:color="auto"/>
        <w:bottom w:val="none" w:sz="0" w:space="0" w:color="auto"/>
        <w:right w:val="none" w:sz="0" w:space="0" w:color="auto"/>
      </w:divBdr>
      <w:divsChild>
        <w:div w:id="605767181">
          <w:marLeft w:val="0"/>
          <w:marRight w:val="0"/>
          <w:marTop w:val="0"/>
          <w:marBottom w:val="0"/>
          <w:divBdr>
            <w:top w:val="none" w:sz="0" w:space="0" w:color="auto"/>
            <w:left w:val="none" w:sz="0" w:space="0" w:color="auto"/>
            <w:bottom w:val="none" w:sz="0" w:space="0" w:color="auto"/>
            <w:right w:val="none" w:sz="0" w:space="0" w:color="auto"/>
          </w:divBdr>
          <w:divsChild>
            <w:div w:id="40642323">
              <w:marLeft w:val="0"/>
              <w:marRight w:val="0"/>
              <w:marTop w:val="0"/>
              <w:marBottom w:val="0"/>
              <w:divBdr>
                <w:top w:val="none" w:sz="0" w:space="0" w:color="auto"/>
                <w:left w:val="none" w:sz="0" w:space="0" w:color="auto"/>
                <w:bottom w:val="none" w:sz="0" w:space="0" w:color="auto"/>
                <w:right w:val="none" w:sz="0" w:space="0" w:color="auto"/>
              </w:divBdr>
              <w:divsChild>
                <w:div w:id="2031444418">
                  <w:marLeft w:val="0"/>
                  <w:marRight w:val="0"/>
                  <w:marTop w:val="0"/>
                  <w:marBottom w:val="0"/>
                  <w:divBdr>
                    <w:top w:val="none" w:sz="0" w:space="0" w:color="auto"/>
                    <w:left w:val="none" w:sz="0" w:space="0" w:color="auto"/>
                    <w:bottom w:val="none" w:sz="0" w:space="0" w:color="auto"/>
                    <w:right w:val="none" w:sz="0" w:space="0" w:color="auto"/>
                  </w:divBdr>
                  <w:divsChild>
                    <w:div w:id="7570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68265">
      <w:bodyDiv w:val="1"/>
      <w:marLeft w:val="0"/>
      <w:marRight w:val="0"/>
      <w:marTop w:val="0"/>
      <w:marBottom w:val="0"/>
      <w:divBdr>
        <w:top w:val="none" w:sz="0" w:space="0" w:color="auto"/>
        <w:left w:val="none" w:sz="0" w:space="0" w:color="auto"/>
        <w:bottom w:val="none" w:sz="0" w:space="0" w:color="auto"/>
        <w:right w:val="none" w:sz="0" w:space="0" w:color="auto"/>
      </w:divBdr>
      <w:divsChild>
        <w:div w:id="248393892">
          <w:marLeft w:val="0"/>
          <w:marRight w:val="0"/>
          <w:marTop w:val="0"/>
          <w:marBottom w:val="0"/>
          <w:divBdr>
            <w:top w:val="none" w:sz="0" w:space="0" w:color="auto"/>
            <w:left w:val="none" w:sz="0" w:space="0" w:color="auto"/>
            <w:bottom w:val="none" w:sz="0" w:space="0" w:color="auto"/>
            <w:right w:val="none" w:sz="0" w:space="0" w:color="auto"/>
          </w:divBdr>
          <w:divsChild>
            <w:div w:id="221253443">
              <w:marLeft w:val="0"/>
              <w:marRight w:val="0"/>
              <w:marTop w:val="0"/>
              <w:marBottom w:val="0"/>
              <w:divBdr>
                <w:top w:val="none" w:sz="0" w:space="0" w:color="auto"/>
                <w:left w:val="none" w:sz="0" w:space="0" w:color="auto"/>
                <w:bottom w:val="none" w:sz="0" w:space="0" w:color="auto"/>
                <w:right w:val="none" w:sz="0" w:space="0" w:color="auto"/>
              </w:divBdr>
              <w:divsChild>
                <w:div w:id="889805550">
                  <w:marLeft w:val="0"/>
                  <w:marRight w:val="0"/>
                  <w:marTop w:val="0"/>
                  <w:marBottom w:val="0"/>
                  <w:divBdr>
                    <w:top w:val="none" w:sz="0" w:space="0" w:color="auto"/>
                    <w:left w:val="none" w:sz="0" w:space="0" w:color="auto"/>
                    <w:bottom w:val="none" w:sz="0" w:space="0" w:color="auto"/>
                    <w:right w:val="none" w:sz="0" w:space="0" w:color="auto"/>
                  </w:divBdr>
                  <w:divsChild>
                    <w:div w:id="1166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0610">
      <w:bodyDiv w:val="1"/>
      <w:marLeft w:val="0"/>
      <w:marRight w:val="0"/>
      <w:marTop w:val="0"/>
      <w:marBottom w:val="0"/>
      <w:divBdr>
        <w:top w:val="none" w:sz="0" w:space="0" w:color="auto"/>
        <w:left w:val="none" w:sz="0" w:space="0" w:color="auto"/>
        <w:bottom w:val="none" w:sz="0" w:space="0" w:color="auto"/>
        <w:right w:val="none" w:sz="0" w:space="0" w:color="auto"/>
      </w:divBdr>
      <w:divsChild>
        <w:div w:id="2114396185">
          <w:marLeft w:val="0"/>
          <w:marRight w:val="0"/>
          <w:marTop w:val="0"/>
          <w:marBottom w:val="0"/>
          <w:divBdr>
            <w:top w:val="none" w:sz="0" w:space="0" w:color="auto"/>
            <w:left w:val="none" w:sz="0" w:space="0" w:color="auto"/>
            <w:bottom w:val="none" w:sz="0" w:space="0" w:color="auto"/>
            <w:right w:val="none" w:sz="0" w:space="0" w:color="auto"/>
          </w:divBdr>
          <w:divsChild>
            <w:div w:id="966740687">
              <w:marLeft w:val="0"/>
              <w:marRight w:val="0"/>
              <w:marTop w:val="0"/>
              <w:marBottom w:val="0"/>
              <w:divBdr>
                <w:top w:val="none" w:sz="0" w:space="0" w:color="auto"/>
                <w:left w:val="none" w:sz="0" w:space="0" w:color="auto"/>
                <w:bottom w:val="none" w:sz="0" w:space="0" w:color="auto"/>
                <w:right w:val="none" w:sz="0" w:space="0" w:color="auto"/>
              </w:divBdr>
              <w:divsChild>
                <w:div w:id="1810172713">
                  <w:marLeft w:val="0"/>
                  <w:marRight w:val="0"/>
                  <w:marTop w:val="0"/>
                  <w:marBottom w:val="0"/>
                  <w:divBdr>
                    <w:top w:val="none" w:sz="0" w:space="0" w:color="auto"/>
                    <w:left w:val="none" w:sz="0" w:space="0" w:color="auto"/>
                    <w:bottom w:val="none" w:sz="0" w:space="0" w:color="auto"/>
                    <w:right w:val="none" w:sz="0" w:space="0" w:color="auto"/>
                  </w:divBdr>
                  <w:divsChild>
                    <w:div w:id="15306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3246">
      <w:bodyDiv w:val="1"/>
      <w:marLeft w:val="0"/>
      <w:marRight w:val="0"/>
      <w:marTop w:val="0"/>
      <w:marBottom w:val="0"/>
      <w:divBdr>
        <w:top w:val="none" w:sz="0" w:space="0" w:color="auto"/>
        <w:left w:val="none" w:sz="0" w:space="0" w:color="auto"/>
        <w:bottom w:val="none" w:sz="0" w:space="0" w:color="auto"/>
        <w:right w:val="none" w:sz="0" w:space="0" w:color="auto"/>
      </w:divBdr>
      <w:divsChild>
        <w:div w:id="189730072">
          <w:marLeft w:val="0"/>
          <w:marRight w:val="0"/>
          <w:marTop w:val="0"/>
          <w:marBottom w:val="0"/>
          <w:divBdr>
            <w:top w:val="none" w:sz="0" w:space="0" w:color="auto"/>
            <w:left w:val="none" w:sz="0" w:space="0" w:color="auto"/>
            <w:bottom w:val="none" w:sz="0" w:space="0" w:color="auto"/>
            <w:right w:val="none" w:sz="0" w:space="0" w:color="auto"/>
          </w:divBdr>
          <w:divsChild>
            <w:div w:id="1862430645">
              <w:marLeft w:val="0"/>
              <w:marRight w:val="0"/>
              <w:marTop w:val="0"/>
              <w:marBottom w:val="0"/>
              <w:divBdr>
                <w:top w:val="none" w:sz="0" w:space="0" w:color="auto"/>
                <w:left w:val="none" w:sz="0" w:space="0" w:color="auto"/>
                <w:bottom w:val="none" w:sz="0" w:space="0" w:color="auto"/>
                <w:right w:val="none" w:sz="0" w:space="0" w:color="auto"/>
              </w:divBdr>
              <w:divsChild>
                <w:div w:id="175392309">
                  <w:marLeft w:val="0"/>
                  <w:marRight w:val="0"/>
                  <w:marTop w:val="0"/>
                  <w:marBottom w:val="0"/>
                  <w:divBdr>
                    <w:top w:val="none" w:sz="0" w:space="0" w:color="auto"/>
                    <w:left w:val="none" w:sz="0" w:space="0" w:color="auto"/>
                    <w:bottom w:val="none" w:sz="0" w:space="0" w:color="auto"/>
                    <w:right w:val="none" w:sz="0" w:space="0" w:color="auto"/>
                  </w:divBdr>
                  <w:divsChild>
                    <w:div w:id="139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4727">
      <w:bodyDiv w:val="1"/>
      <w:marLeft w:val="0"/>
      <w:marRight w:val="0"/>
      <w:marTop w:val="0"/>
      <w:marBottom w:val="0"/>
      <w:divBdr>
        <w:top w:val="none" w:sz="0" w:space="0" w:color="auto"/>
        <w:left w:val="none" w:sz="0" w:space="0" w:color="auto"/>
        <w:bottom w:val="none" w:sz="0" w:space="0" w:color="auto"/>
        <w:right w:val="none" w:sz="0" w:space="0" w:color="auto"/>
      </w:divBdr>
      <w:divsChild>
        <w:div w:id="1797870444">
          <w:marLeft w:val="0"/>
          <w:marRight w:val="0"/>
          <w:marTop w:val="0"/>
          <w:marBottom w:val="0"/>
          <w:divBdr>
            <w:top w:val="none" w:sz="0" w:space="0" w:color="auto"/>
            <w:left w:val="none" w:sz="0" w:space="0" w:color="auto"/>
            <w:bottom w:val="none" w:sz="0" w:space="0" w:color="auto"/>
            <w:right w:val="none" w:sz="0" w:space="0" w:color="auto"/>
          </w:divBdr>
          <w:divsChild>
            <w:div w:id="638193417">
              <w:marLeft w:val="0"/>
              <w:marRight w:val="0"/>
              <w:marTop w:val="0"/>
              <w:marBottom w:val="0"/>
              <w:divBdr>
                <w:top w:val="none" w:sz="0" w:space="0" w:color="auto"/>
                <w:left w:val="none" w:sz="0" w:space="0" w:color="auto"/>
                <w:bottom w:val="none" w:sz="0" w:space="0" w:color="auto"/>
                <w:right w:val="none" w:sz="0" w:space="0" w:color="auto"/>
              </w:divBdr>
              <w:divsChild>
                <w:div w:id="448353373">
                  <w:marLeft w:val="0"/>
                  <w:marRight w:val="0"/>
                  <w:marTop w:val="0"/>
                  <w:marBottom w:val="0"/>
                  <w:divBdr>
                    <w:top w:val="none" w:sz="0" w:space="0" w:color="auto"/>
                    <w:left w:val="none" w:sz="0" w:space="0" w:color="auto"/>
                    <w:bottom w:val="none" w:sz="0" w:space="0" w:color="auto"/>
                    <w:right w:val="none" w:sz="0" w:space="0" w:color="auto"/>
                  </w:divBdr>
                  <w:divsChild>
                    <w:div w:id="12325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79096">
      <w:bodyDiv w:val="1"/>
      <w:marLeft w:val="0"/>
      <w:marRight w:val="0"/>
      <w:marTop w:val="0"/>
      <w:marBottom w:val="0"/>
      <w:divBdr>
        <w:top w:val="none" w:sz="0" w:space="0" w:color="auto"/>
        <w:left w:val="none" w:sz="0" w:space="0" w:color="auto"/>
        <w:bottom w:val="none" w:sz="0" w:space="0" w:color="auto"/>
        <w:right w:val="none" w:sz="0" w:space="0" w:color="auto"/>
      </w:divBdr>
      <w:divsChild>
        <w:div w:id="1305238698">
          <w:marLeft w:val="0"/>
          <w:marRight w:val="0"/>
          <w:marTop w:val="0"/>
          <w:marBottom w:val="0"/>
          <w:divBdr>
            <w:top w:val="none" w:sz="0" w:space="0" w:color="auto"/>
            <w:left w:val="none" w:sz="0" w:space="0" w:color="auto"/>
            <w:bottom w:val="none" w:sz="0" w:space="0" w:color="auto"/>
            <w:right w:val="none" w:sz="0" w:space="0" w:color="auto"/>
          </w:divBdr>
          <w:divsChild>
            <w:div w:id="841967942">
              <w:marLeft w:val="0"/>
              <w:marRight w:val="0"/>
              <w:marTop w:val="0"/>
              <w:marBottom w:val="0"/>
              <w:divBdr>
                <w:top w:val="none" w:sz="0" w:space="0" w:color="auto"/>
                <w:left w:val="none" w:sz="0" w:space="0" w:color="auto"/>
                <w:bottom w:val="none" w:sz="0" w:space="0" w:color="auto"/>
                <w:right w:val="none" w:sz="0" w:space="0" w:color="auto"/>
              </w:divBdr>
              <w:divsChild>
                <w:div w:id="1727333384">
                  <w:marLeft w:val="0"/>
                  <w:marRight w:val="0"/>
                  <w:marTop w:val="0"/>
                  <w:marBottom w:val="0"/>
                  <w:divBdr>
                    <w:top w:val="none" w:sz="0" w:space="0" w:color="auto"/>
                    <w:left w:val="none" w:sz="0" w:space="0" w:color="auto"/>
                    <w:bottom w:val="none" w:sz="0" w:space="0" w:color="auto"/>
                    <w:right w:val="none" w:sz="0" w:space="0" w:color="auto"/>
                  </w:divBdr>
                  <w:divsChild>
                    <w:div w:id="11133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1502">
      <w:bodyDiv w:val="1"/>
      <w:marLeft w:val="0"/>
      <w:marRight w:val="0"/>
      <w:marTop w:val="0"/>
      <w:marBottom w:val="0"/>
      <w:divBdr>
        <w:top w:val="none" w:sz="0" w:space="0" w:color="auto"/>
        <w:left w:val="none" w:sz="0" w:space="0" w:color="auto"/>
        <w:bottom w:val="none" w:sz="0" w:space="0" w:color="auto"/>
        <w:right w:val="none" w:sz="0" w:space="0" w:color="auto"/>
      </w:divBdr>
      <w:divsChild>
        <w:div w:id="2102872072">
          <w:marLeft w:val="0"/>
          <w:marRight w:val="0"/>
          <w:marTop w:val="0"/>
          <w:marBottom w:val="0"/>
          <w:divBdr>
            <w:top w:val="none" w:sz="0" w:space="0" w:color="auto"/>
            <w:left w:val="none" w:sz="0" w:space="0" w:color="auto"/>
            <w:bottom w:val="none" w:sz="0" w:space="0" w:color="auto"/>
            <w:right w:val="none" w:sz="0" w:space="0" w:color="auto"/>
          </w:divBdr>
          <w:divsChild>
            <w:div w:id="832795756">
              <w:marLeft w:val="0"/>
              <w:marRight w:val="0"/>
              <w:marTop w:val="0"/>
              <w:marBottom w:val="0"/>
              <w:divBdr>
                <w:top w:val="none" w:sz="0" w:space="0" w:color="auto"/>
                <w:left w:val="none" w:sz="0" w:space="0" w:color="auto"/>
                <w:bottom w:val="none" w:sz="0" w:space="0" w:color="auto"/>
                <w:right w:val="none" w:sz="0" w:space="0" w:color="auto"/>
              </w:divBdr>
              <w:divsChild>
                <w:div w:id="1196384501">
                  <w:marLeft w:val="0"/>
                  <w:marRight w:val="0"/>
                  <w:marTop w:val="0"/>
                  <w:marBottom w:val="0"/>
                  <w:divBdr>
                    <w:top w:val="none" w:sz="0" w:space="0" w:color="auto"/>
                    <w:left w:val="none" w:sz="0" w:space="0" w:color="auto"/>
                    <w:bottom w:val="none" w:sz="0" w:space="0" w:color="auto"/>
                    <w:right w:val="none" w:sz="0" w:space="0" w:color="auto"/>
                  </w:divBdr>
                  <w:divsChild>
                    <w:div w:id="144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8A041-4AE2-3641-BE27-E39B2C1806A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Omry Yoresh</dc:creator>
  <cp:keywords/>
  <dc:description/>
  <cp:lastModifiedBy>Omry Yoresh</cp:lastModifiedBy>
  <cp:revision>8</cp:revision>
  <dcterms:created xsi:type="dcterms:W3CDTF">2023-04-27T13:10:00Z</dcterms:created>
  <dcterms:modified xsi:type="dcterms:W3CDTF">2023-04-27T14:41:00Z</dcterms:modified>
  <cp:category/>
</cp:coreProperties>
</file>