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SIT723 Detailed Progress Report</w:t>
      </w:r>
    </w:p>
    <w:p>
      <w:pPr>
        <w:jc w:val="center"/>
      </w:pPr>
      <w:r>
        <w:rPr>
          <w:i/>
          <w:sz w:val="22"/>
        </w:rPr>
        <w:t>AI-based credit scoring benchmark with PaddleOCR extension status update</w:t>
      </w:r>
    </w:p>
    <w:p>
      <w:r>
        <w:t>Prepared on 23 April 2026</w:t>
      </w:r>
    </w:p>
    <w:p>
      <w:r>
        <w:t>Student: Rudraksh Dhamija</w:t>
      </w:r>
    </w:p>
    <w:p>
      <w:r>
        <w:t>Supervisor: Dr. Shamsul Huda</w:t>
      </w:r>
    </w:p>
    <w:p>
      <w:pPr>
        <w:pStyle w:val="Heading1"/>
      </w:pPr>
      <w:r>
        <w:t>1. Project Context and Current Scope</w:t>
      </w:r>
    </w:p>
    <w:p>
      <w:r>
        <w:t>The current project scope remains aligned with the approved SIT723 research direction: benchmarking explainable AI and deep learning models for credit scoring using German Credit and Lending Club data.</w:t>
      </w:r>
    </w:p>
    <w:p>
      <w:r>
        <w:t>The broader loan-origination relevance is retained through a document-intelligence extension. In the current pilot, PaddleOCR is treated as a supporting module for borrower-document intake rather than a replacement for the core credit-scoring study.</w:t>
      </w:r>
    </w:p>
    <w:p>
      <w:r>
        <w:t>This report is written as a truthful progress update. All numerical claims below are derived from saved pilot experiment artifacts already produced in the workspace.</w:t>
      </w:r>
    </w:p>
    <w:p>
      <w:pPr>
        <w:pStyle w:val="Heading1"/>
      </w:pPr>
      <w:r>
        <w:t>2. Research Aim, Gaps, and Questions</w:t>
      </w:r>
    </w:p>
    <w:p>
      <w:r>
        <w:t>The main aim is to determine how well strong machine learning and neural models perform on public credit-risk datasets while preserving robustness and explainability for lending-oriented use.</w:t>
      </w:r>
    </w:p>
    <w:p>
      <w:r>
        <w:t>The work addresses three recurring literature gaps: limited cross-dataset comparison, weak attention to minority-class detection under class imbalance, and insufficient connection between predictive performance and explainable lending practice.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Research Question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RQ1</w:t>
            </w:r>
          </w:p>
        </w:tc>
        <w:tc>
          <w:tcPr>
            <w:tcW w:type="dxa" w:w="4968"/>
          </w:tcPr>
          <w:p>
            <w:r>
              <w:t>Compare deep learning models with strong machine-learning baselines for credit-risk prediction.</w:t>
            </w:r>
          </w:p>
        </w:tc>
      </w:tr>
      <w:tr>
        <w:tc>
          <w:tcPr>
            <w:tcW w:type="dxa" w:w="4968"/>
          </w:tcPr>
          <w:p>
            <w:r>
              <w:t>RQ2</w:t>
            </w:r>
          </w:p>
        </w:tc>
        <w:tc>
          <w:tcPr>
            <w:tcW w:type="dxa" w:w="4968"/>
          </w:tcPr>
          <w:p>
            <w:r>
              <w:t>Evaluate preprocessing and imbalance strategies that improve risky-borrower detection.</w:t>
            </w:r>
          </w:p>
        </w:tc>
      </w:tr>
      <w:tr>
        <w:tc>
          <w:tcPr>
            <w:tcW w:type="dxa" w:w="4968"/>
          </w:tcPr>
          <w:p>
            <w:r>
              <w:t>RQ3</w:t>
            </w:r>
          </w:p>
        </w:tc>
        <w:tc>
          <w:tcPr>
            <w:tcW w:type="dxa" w:w="4968"/>
          </w:tcPr>
          <w:p>
            <w:r>
              <w:t>Retain practical explainability through feature-importance analysis without losing predictive quality.</w:t>
            </w:r>
          </w:p>
        </w:tc>
      </w:tr>
    </w:tbl>
    <w:p>
      <w:pPr>
        <w:pStyle w:val="Heading1"/>
      </w:pPr>
      <w:r>
        <w:t>3. Finalised Methodology</w:t>
      </w:r>
    </w:p>
    <w:p>
      <w:r>
        <w:t>The methodology is fully designed and implemented as a reproducible experiment pipeline. Each run follows the same flow from data ingestion to metrics export.</w:t>
      </w:r>
    </w:p>
    <w:p>
      <w:r>
        <w:drawing>
          <wp:inline xmlns:a="http://schemas.openxmlformats.org/drawingml/2006/main" xmlns:pic="http://schemas.openxmlformats.org/drawingml/2006/picture">
            <wp:extent cx="6217920" cy="1939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3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experimental workflow uses public datasets, train/validation/test separation, explicit imbalance-handling variants, and consistent saved outputs including metrics JSON, confusion matrix, ROC curve, PR curve, and feature-importance artifacts.</w:t>
      </w:r>
    </w:p>
    <w:p>
      <w:r>
        <w:t>Model families used in the pilot are Logistic Regression, Random Forest, HistGradientBoosting, and MLP. This provides a balanced comparison between interpretable linear baselines, strong ensemble methods, and a neural baseline.</w:t>
      </w:r>
    </w:p>
    <w:p>
      <w:pPr>
        <w:pStyle w:val="Heading1"/>
      </w:pPr>
      <w:r>
        <w:t>4. Finished Experimental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Design Element</w:t>
            </w:r>
          </w:p>
        </w:tc>
        <w:tc>
          <w:tcPr>
            <w:tcW w:type="dxa" w:w="4968"/>
          </w:tcPr>
          <w:p>
            <w:r>
              <w:t>Current Pilot Design</w:t>
            </w:r>
          </w:p>
        </w:tc>
      </w:tr>
      <w:tr>
        <w:tc>
          <w:tcPr>
            <w:tcW w:type="dxa" w:w="4968"/>
          </w:tcPr>
          <w:p>
            <w:r>
              <w:t>Datasets</w:t>
            </w:r>
          </w:p>
        </w:tc>
        <w:tc>
          <w:tcPr>
            <w:tcW w:type="dxa" w:w="4968"/>
          </w:tcPr>
          <w:p>
            <w:r>
              <w:t>German Credit full public dataset; public cleaned Lending Club sample with pilot subset size 4,000</w:t>
            </w:r>
          </w:p>
        </w:tc>
      </w:tr>
      <w:tr>
        <w:tc>
          <w:tcPr>
            <w:tcW w:type="dxa" w:w="4968"/>
          </w:tcPr>
          <w:p>
            <w:r>
              <w:t>Preprocessing</w:t>
            </w:r>
          </w:p>
        </w:tc>
        <w:tc>
          <w:tcPr>
            <w:tcW w:type="dxa" w:w="4968"/>
          </w:tcPr>
          <w:p>
            <w:r>
              <w:t>Median or mode imputation, one-hot encoding, scaling for linear and neural models</w:t>
            </w:r>
          </w:p>
        </w:tc>
      </w:tr>
      <w:tr>
        <w:tc>
          <w:tcPr>
            <w:tcW w:type="dxa" w:w="4968"/>
          </w:tcPr>
          <w:p>
            <w:r>
              <w:t>Imbalance strategies</w:t>
            </w:r>
          </w:p>
        </w:tc>
        <w:tc>
          <w:tcPr>
            <w:tcW w:type="dxa" w:w="4968"/>
          </w:tcPr>
          <w:p>
            <w:r>
              <w:t>None, class weighting, random oversampling</w:t>
            </w:r>
          </w:p>
        </w:tc>
      </w:tr>
      <w:tr>
        <w:tc>
          <w:tcPr>
            <w:tcW w:type="dxa" w:w="4968"/>
          </w:tcPr>
          <w:p>
            <w:r>
              <w:t>Evaluation metrics</w:t>
            </w:r>
          </w:p>
        </w:tc>
        <w:tc>
          <w:tcPr>
            <w:tcW w:type="dxa" w:w="4968"/>
          </w:tcPr>
          <w:p>
            <w:r>
              <w:t>ROC-AUC, PR-AUC, precision, recall, F1, accuracy, confusion matrix, training time</w:t>
            </w:r>
          </w:p>
        </w:tc>
      </w:tr>
      <w:tr>
        <w:tc>
          <w:tcPr>
            <w:tcW w:type="dxa" w:w="4968"/>
          </w:tcPr>
          <w:p>
            <w:r>
              <w:t>Explainability</w:t>
            </w:r>
          </w:p>
        </w:tc>
        <w:tc>
          <w:tcPr>
            <w:tcW w:type="dxa" w:w="4968"/>
          </w:tcPr>
          <w:p>
            <w:r>
              <w:t>Feature-importance CSV and figure for each run</w:t>
            </w:r>
          </w:p>
        </w:tc>
      </w:tr>
      <w:tr>
        <w:tc>
          <w:tcPr>
            <w:tcW w:type="dxa" w:w="4968"/>
          </w:tcPr>
          <w:p>
            <w:r>
              <w:t>Outputs</w:t>
            </w:r>
          </w:p>
        </w:tc>
        <w:tc>
          <w:tcPr>
            <w:tcW w:type="dxa" w:w="4968"/>
          </w:tcPr>
          <w:p>
            <w:r>
              <w:t>Per-run JSON summaries, plots, and benchmark summary CSV</w:t>
            </w:r>
          </w:p>
        </w:tc>
      </w:tr>
    </w:tbl>
    <w:p>
      <w:pPr>
        <w:pStyle w:val="Heading1"/>
      </w:pPr>
      <w:r>
        <w:t>5. Dataset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Dataset</w:t>
            </w:r>
          </w:p>
        </w:tc>
        <w:tc>
          <w:tcPr>
            <w:tcW w:type="dxa" w:w="2484"/>
          </w:tcPr>
          <w:p>
            <w:r>
              <w:t>Records used</w:t>
            </w:r>
          </w:p>
        </w:tc>
        <w:tc>
          <w:tcPr>
            <w:tcW w:type="dxa" w:w="2484"/>
          </w:tcPr>
          <w:p>
            <w:r>
              <w:t>Positive-class rate</w:t>
            </w:r>
          </w:p>
        </w:tc>
        <w:tc>
          <w:tcPr>
            <w:tcW w:type="dxa" w:w="2484"/>
          </w:tcPr>
          <w:p>
            <w:r>
              <w:t>Notes</w:t>
            </w:r>
          </w:p>
        </w:tc>
      </w:tr>
      <w:tr>
        <w:tc>
          <w:tcPr>
            <w:tcW w:type="dxa" w:w="2484"/>
          </w:tcPr>
          <w:p>
            <w:r>
              <w:t>German Credit</w:t>
            </w:r>
          </w:p>
        </w:tc>
        <w:tc>
          <w:tcPr>
            <w:tcW w:type="dxa" w:w="2484"/>
          </w:tcPr>
          <w:p>
            <w:r>
              <w:t>1000</w:t>
            </w:r>
          </w:p>
        </w:tc>
        <w:tc>
          <w:tcPr>
            <w:tcW w:type="dxa" w:w="2484"/>
          </w:tcPr>
          <w:p>
            <w:r>
              <w:t>0.300</w:t>
            </w:r>
          </w:p>
        </w:tc>
        <w:tc>
          <w:tcPr>
            <w:tcW w:type="dxa" w:w="2484"/>
          </w:tcPr>
          <w:p>
            <w:r>
              <w:t>Positive class is bad credit risk.</w:t>
            </w:r>
          </w:p>
        </w:tc>
      </w:tr>
      <w:tr>
        <w:tc>
          <w:tcPr>
            <w:tcW w:type="dxa" w:w="2484"/>
          </w:tcPr>
          <w:p>
            <w:r>
              <w:t>Lending Club sample</w:t>
            </w:r>
          </w:p>
        </w:tc>
        <w:tc>
          <w:tcPr>
            <w:tcW w:type="dxa" w:w="2484"/>
          </w:tcPr>
          <w:p>
            <w:r>
              <w:t>4000</w:t>
            </w:r>
          </w:p>
        </w:tc>
        <w:tc>
          <w:tcPr>
            <w:tcW w:type="dxa" w:w="2484"/>
          </w:tcPr>
          <w:p>
            <w:r>
              <w:t>0.183</w:t>
            </w:r>
          </w:p>
        </w:tc>
        <w:tc>
          <w:tcPr>
            <w:tcW w:type="dxa" w:w="2484"/>
          </w:tcPr>
          <w:p>
            <w:r>
              <w:t>Pilot run uses a stratified subset from a public cleaned Lending Club CSV.</w:t>
            </w:r>
          </w:p>
        </w:tc>
      </w:tr>
    </w:tbl>
    <w:p>
      <w:r>
        <w:t>The German Credit data remains useful as a compact benchmark with a known 70:30 class structure. The Lending Club pilot uses a larger public sample and therefore gives a more realistic tabular-lending setting, while still remaining computationally manageable for this stage.</w:t>
      </w:r>
    </w:p>
    <w:p>
      <w:r>
        <w:t>The positive rate in the Lending Club pilot subset is lower than in German Credit, which makes minority-class recall especially important for model comparison.</w:t>
      </w:r>
    </w:p>
    <w:p>
      <w:pPr>
        <w:pStyle w:val="Heading1"/>
      </w:pPr>
      <w:r>
        <w:t>6. Preliminary Experiments Conducted</w:t>
      </w:r>
    </w:p>
    <w:p>
      <w:r>
        <w:t>Eight pilot benchmark runs have been completed across two datasets. The table below summarizes the current test-set results saved in the benchmark summary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Run ID</w:t>
            </w:r>
          </w:p>
        </w:tc>
        <w:tc>
          <w:tcPr>
            <w:tcW w:type="dxa" w:w="1242"/>
          </w:tcPr>
          <w:p>
            <w:r>
              <w:t>Dataset</w:t>
            </w:r>
          </w:p>
        </w:tc>
        <w:tc>
          <w:tcPr>
            <w:tcW w:type="dxa" w:w="1242"/>
          </w:tcPr>
          <w:p>
            <w:r>
              <w:t>Model</w:t>
            </w:r>
          </w:p>
        </w:tc>
        <w:tc>
          <w:tcPr>
            <w:tcW w:type="dxa" w:w="1242"/>
          </w:tcPr>
          <w:p>
            <w:r>
              <w:t>Imbalance</w:t>
            </w:r>
          </w:p>
        </w:tc>
        <w:tc>
          <w:tcPr>
            <w:tcW w:type="dxa" w:w="1242"/>
          </w:tcPr>
          <w:p>
            <w:r>
              <w:t>ROC-AUC</w:t>
            </w:r>
          </w:p>
        </w:tc>
        <w:tc>
          <w:tcPr>
            <w:tcW w:type="dxa" w:w="1242"/>
          </w:tcPr>
          <w:p>
            <w:r>
              <w:t>PR-AUC</w:t>
            </w:r>
          </w:p>
        </w:tc>
        <w:tc>
          <w:tcPr>
            <w:tcW w:type="dxa" w:w="1242"/>
          </w:tcPr>
          <w:p>
            <w:r>
              <w:t>Recall</w:t>
            </w:r>
          </w:p>
        </w:tc>
        <w:tc>
          <w:tcPr>
            <w:tcW w:type="dxa" w:w="1242"/>
          </w:tcPr>
          <w:p>
            <w:r>
              <w:t>F1</w:t>
            </w:r>
          </w:p>
        </w:tc>
      </w:tr>
      <w:tr>
        <w:tc>
          <w:tcPr>
            <w:tcW w:type="dxa" w:w="1242"/>
          </w:tcPr>
          <w:p>
            <w:r>
              <w:t>german_gb_none</w:t>
            </w:r>
          </w:p>
        </w:tc>
        <w:tc>
          <w:tcPr>
            <w:tcW w:type="dxa" w:w="1242"/>
          </w:tcPr>
          <w:p>
            <w:r>
              <w:t>german_credit</w:t>
            </w:r>
          </w:p>
        </w:tc>
        <w:tc>
          <w:tcPr>
            <w:tcW w:type="dxa" w:w="1242"/>
          </w:tcPr>
          <w:p>
            <w:r>
              <w:t>gradient_boosting</w:t>
            </w:r>
          </w:p>
        </w:tc>
        <w:tc>
          <w:tcPr>
            <w:tcW w:type="dxa" w:w="1242"/>
          </w:tcPr>
          <w:p>
            <w:r>
              <w:t>none</w:t>
            </w:r>
          </w:p>
        </w:tc>
        <w:tc>
          <w:tcPr>
            <w:tcW w:type="dxa" w:w="1242"/>
          </w:tcPr>
          <w:p>
            <w:r>
              <w:t>0.790</w:t>
            </w:r>
          </w:p>
        </w:tc>
        <w:tc>
          <w:tcPr>
            <w:tcW w:type="dxa" w:w="1242"/>
          </w:tcPr>
          <w:p>
            <w:r>
              <w:t>0.667</w:t>
            </w:r>
          </w:p>
        </w:tc>
        <w:tc>
          <w:tcPr>
            <w:tcW w:type="dxa" w:w="1242"/>
          </w:tcPr>
          <w:p>
            <w:r>
              <w:t>0.444</w:t>
            </w:r>
          </w:p>
        </w:tc>
        <w:tc>
          <w:tcPr>
            <w:tcW w:type="dxa" w:w="1242"/>
          </w:tcPr>
          <w:p>
            <w:r>
              <w:t>0.556</w:t>
            </w:r>
          </w:p>
        </w:tc>
      </w:tr>
      <w:tr>
        <w:tc>
          <w:tcPr>
            <w:tcW w:type="dxa" w:w="1242"/>
          </w:tcPr>
          <w:p>
            <w:r>
              <w:t>german_logreg_class_weight</w:t>
            </w:r>
          </w:p>
        </w:tc>
        <w:tc>
          <w:tcPr>
            <w:tcW w:type="dxa" w:w="1242"/>
          </w:tcPr>
          <w:p>
            <w:r>
              <w:t>german_credit</w:t>
            </w:r>
          </w:p>
        </w:tc>
        <w:tc>
          <w:tcPr>
            <w:tcW w:type="dxa" w:w="1242"/>
          </w:tcPr>
          <w:p>
            <w:r>
              <w:t>logistic_regression</w:t>
            </w:r>
          </w:p>
        </w:tc>
        <w:tc>
          <w:tcPr>
            <w:tcW w:type="dxa" w:w="1242"/>
          </w:tcPr>
          <w:p>
            <w:r>
              <w:t>class_weight</w:t>
            </w:r>
          </w:p>
        </w:tc>
        <w:tc>
          <w:tcPr>
            <w:tcW w:type="dxa" w:w="1242"/>
          </w:tcPr>
          <w:p>
            <w:r>
              <w:t>0.831</w:t>
            </w:r>
          </w:p>
        </w:tc>
        <w:tc>
          <w:tcPr>
            <w:tcW w:type="dxa" w:w="1242"/>
          </w:tcPr>
          <w:p>
            <w:r>
              <w:t>0.713</w:t>
            </w:r>
          </w:p>
        </w:tc>
        <w:tc>
          <w:tcPr>
            <w:tcW w:type="dxa" w:w="1242"/>
          </w:tcPr>
          <w:p>
            <w:r>
              <w:t>0.778</w:t>
            </w:r>
          </w:p>
        </w:tc>
        <w:tc>
          <w:tcPr>
            <w:tcW w:type="dxa" w:w="1242"/>
          </w:tcPr>
          <w:p>
            <w:r>
              <w:t>0.673</w:t>
            </w:r>
          </w:p>
        </w:tc>
      </w:tr>
      <w:tr>
        <w:tc>
          <w:tcPr>
            <w:tcW w:type="dxa" w:w="1242"/>
          </w:tcPr>
          <w:p>
            <w:r>
              <w:t>german_mlp_oversample</w:t>
            </w:r>
          </w:p>
        </w:tc>
        <w:tc>
          <w:tcPr>
            <w:tcW w:type="dxa" w:w="1242"/>
          </w:tcPr>
          <w:p>
            <w:r>
              <w:t>german_credit</w:t>
            </w:r>
          </w:p>
        </w:tc>
        <w:tc>
          <w:tcPr>
            <w:tcW w:type="dxa" w:w="1242"/>
          </w:tcPr>
          <w:p>
            <w:r>
              <w:t>mlp</w:t>
            </w:r>
          </w:p>
        </w:tc>
        <w:tc>
          <w:tcPr>
            <w:tcW w:type="dxa" w:w="1242"/>
          </w:tcPr>
          <w:p>
            <w:r>
              <w:t>oversample</w:t>
            </w:r>
          </w:p>
        </w:tc>
        <w:tc>
          <w:tcPr>
            <w:tcW w:type="dxa" w:w="1242"/>
          </w:tcPr>
          <w:p>
            <w:r>
              <w:t>0.823</w:t>
            </w:r>
          </w:p>
        </w:tc>
        <w:tc>
          <w:tcPr>
            <w:tcW w:type="dxa" w:w="1242"/>
          </w:tcPr>
          <w:p>
            <w:r>
              <w:t>0.686</w:t>
            </w:r>
          </w:p>
        </w:tc>
        <w:tc>
          <w:tcPr>
            <w:tcW w:type="dxa" w:w="1242"/>
          </w:tcPr>
          <w:p>
            <w:r>
              <w:t>0.578</w:t>
            </w:r>
          </w:p>
        </w:tc>
        <w:tc>
          <w:tcPr>
            <w:tcW w:type="dxa" w:w="1242"/>
          </w:tcPr>
          <w:p>
            <w:r>
              <w:t>0.612</w:t>
            </w:r>
          </w:p>
        </w:tc>
      </w:tr>
      <w:tr>
        <w:tc>
          <w:tcPr>
            <w:tcW w:type="dxa" w:w="1242"/>
          </w:tcPr>
          <w:p>
            <w:r>
              <w:t>german_rf_oversample</w:t>
            </w:r>
          </w:p>
        </w:tc>
        <w:tc>
          <w:tcPr>
            <w:tcW w:type="dxa" w:w="1242"/>
          </w:tcPr>
          <w:p>
            <w:r>
              <w:t>german_credit</w:t>
            </w:r>
          </w:p>
        </w:tc>
        <w:tc>
          <w:tcPr>
            <w:tcW w:type="dxa" w:w="1242"/>
          </w:tcPr>
          <w:p>
            <w:r>
              <w:t>random_forest</w:t>
            </w:r>
          </w:p>
        </w:tc>
        <w:tc>
          <w:tcPr>
            <w:tcW w:type="dxa" w:w="1242"/>
          </w:tcPr>
          <w:p>
            <w:r>
              <w:t>oversample</w:t>
            </w:r>
          </w:p>
        </w:tc>
        <w:tc>
          <w:tcPr>
            <w:tcW w:type="dxa" w:w="1242"/>
          </w:tcPr>
          <w:p>
            <w:r>
              <w:t>0.803</w:t>
            </w:r>
          </w:p>
        </w:tc>
        <w:tc>
          <w:tcPr>
            <w:tcW w:type="dxa" w:w="1242"/>
          </w:tcPr>
          <w:p>
            <w:r>
              <w:t>0.654</w:t>
            </w:r>
          </w:p>
        </w:tc>
        <w:tc>
          <w:tcPr>
            <w:tcW w:type="dxa" w:w="1242"/>
          </w:tcPr>
          <w:p>
            <w:r>
              <w:t>0.511</w:t>
            </w:r>
          </w:p>
        </w:tc>
        <w:tc>
          <w:tcPr>
            <w:tcW w:type="dxa" w:w="1242"/>
          </w:tcPr>
          <w:p>
            <w:r>
              <w:t>0.590</w:t>
            </w:r>
          </w:p>
        </w:tc>
      </w:tr>
      <w:tr>
        <w:tc>
          <w:tcPr>
            <w:tcW w:type="dxa" w:w="1242"/>
          </w:tcPr>
          <w:p>
            <w:r>
              <w:t>lending_gb_none</w:t>
            </w:r>
          </w:p>
        </w:tc>
        <w:tc>
          <w:tcPr>
            <w:tcW w:type="dxa" w:w="1242"/>
          </w:tcPr>
          <w:p>
            <w:r>
              <w:t>lending_club_sample</w:t>
            </w:r>
          </w:p>
        </w:tc>
        <w:tc>
          <w:tcPr>
            <w:tcW w:type="dxa" w:w="1242"/>
          </w:tcPr>
          <w:p>
            <w:r>
              <w:t>gradient_boosting</w:t>
            </w:r>
          </w:p>
        </w:tc>
        <w:tc>
          <w:tcPr>
            <w:tcW w:type="dxa" w:w="1242"/>
          </w:tcPr>
          <w:p>
            <w:r>
              <w:t>none</w:t>
            </w:r>
          </w:p>
        </w:tc>
        <w:tc>
          <w:tcPr>
            <w:tcW w:type="dxa" w:w="1242"/>
          </w:tcPr>
          <w:p>
            <w:r>
              <w:t>0.690</w:t>
            </w:r>
          </w:p>
        </w:tc>
        <w:tc>
          <w:tcPr>
            <w:tcW w:type="dxa" w:w="1242"/>
          </w:tcPr>
          <w:p>
            <w:r>
              <w:t>0.334</w:t>
            </w:r>
          </w:p>
        </w:tc>
        <w:tc>
          <w:tcPr>
            <w:tcW w:type="dxa" w:w="1242"/>
          </w:tcPr>
          <w:p>
            <w:r>
              <w:t>0.127</w:t>
            </w:r>
          </w:p>
        </w:tc>
        <w:tc>
          <w:tcPr>
            <w:tcW w:type="dxa" w:w="1242"/>
          </w:tcPr>
          <w:p>
            <w:r>
              <w:t>0.203</w:t>
            </w:r>
          </w:p>
        </w:tc>
      </w:tr>
      <w:tr>
        <w:tc>
          <w:tcPr>
            <w:tcW w:type="dxa" w:w="1242"/>
          </w:tcPr>
          <w:p>
            <w:r>
              <w:t>lending_logreg_class_weight</w:t>
            </w:r>
          </w:p>
        </w:tc>
        <w:tc>
          <w:tcPr>
            <w:tcW w:type="dxa" w:w="1242"/>
          </w:tcPr>
          <w:p>
            <w:r>
              <w:t>lending_club_sample</w:t>
            </w:r>
          </w:p>
        </w:tc>
        <w:tc>
          <w:tcPr>
            <w:tcW w:type="dxa" w:w="1242"/>
          </w:tcPr>
          <w:p>
            <w:r>
              <w:t>logistic_regression</w:t>
            </w:r>
          </w:p>
        </w:tc>
        <w:tc>
          <w:tcPr>
            <w:tcW w:type="dxa" w:w="1242"/>
          </w:tcPr>
          <w:p>
            <w:r>
              <w:t>class_weight</w:t>
            </w:r>
          </w:p>
        </w:tc>
        <w:tc>
          <w:tcPr>
            <w:tcW w:type="dxa" w:w="1242"/>
          </w:tcPr>
          <w:p>
            <w:r>
              <w:t>0.722</w:t>
            </w:r>
          </w:p>
        </w:tc>
        <w:tc>
          <w:tcPr>
            <w:tcW w:type="dxa" w:w="1242"/>
          </w:tcPr>
          <w:p>
            <w:r>
              <w:t>0.360</w:t>
            </w:r>
          </w:p>
        </w:tc>
        <w:tc>
          <w:tcPr>
            <w:tcW w:type="dxa" w:w="1242"/>
          </w:tcPr>
          <w:p>
            <w:r>
              <w:t>0.682</w:t>
            </w:r>
          </w:p>
        </w:tc>
        <w:tc>
          <w:tcPr>
            <w:tcW w:type="dxa" w:w="1242"/>
          </w:tcPr>
          <w:p>
            <w:r>
              <w:t>0.430</w:t>
            </w:r>
          </w:p>
        </w:tc>
      </w:tr>
      <w:tr>
        <w:tc>
          <w:tcPr>
            <w:tcW w:type="dxa" w:w="1242"/>
          </w:tcPr>
          <w:p>
            <w:r>
              <w:t>lending_mlp_oversample</w:t>
            </w:r>
          </w:p>
        </w:tc>
        <w:tc>
          <w:tcPr>
            <w:tcW w:type="dxa" w:w="1242"/>
          </w:tcPr>
          <w:p>
            <w:r>
              <w:t>lending_club_sample</w:t>
            </w:r>
          </w:p>
        </w:tc>
        <w:tc>
          <w:tcPr>
            <w:tcW w:type="dxa" w:w="1242"/>
          </w:tcPr>
          <w:p>
            <w:r>
              <w:t>mlp</w:t>
            </w:r>
          </w:p>
        </w:tc>
        <w:tc>
          <w:tcPr>
            <w:tcW w:type="dxa" w:w="1242"/>
          </w:tcPr>
          <w:p>
            <w:r>
              <w:t>oversample</w:t>
            </w:r>
          </w:p>
        </w:tc>
        <w:tc>
          <w:tcPr>
            <w:tcW w:type="dxa" w:w="1242"/>
          </w:tcPr>
          <w:p>
            <w:r>
              <w:t>0.591</w:t>
            </w:r>
          </w:p>
        </w:tc>
        <w:tc>
          <w:tcPr>
            <w:tcW w:type="dxa" w:w="1242"/>
          </w:tcPr>
          <w:p>
            <w:r>
              <w:t>0.260</w:t>
            </w:r>
          </w:p>
        </w:tc>
        <w:tc>
          <w:tcPr>
            <w:tcW w:type="dxa" w:w="1242"/>
          </w:tcPr>
          <w:p>
            <w:r>
              <w:t>0.245</w:t>
            </w:r>
          </w:p>
        </w:tc>
        <w:tc>
          <w:tcPr>
            <w:tcW w:type="dxa" w:w="1242"/>
          </w:tcPr>
          <w:p>
            <w:r>
              <w:t>0.244</w:t>
            </w:r>
          </w:p>
        </w:tc>
      </w:tr>
      <w:tr>
        <w:tc>
          <w:tcPr>
            <w:tcW w:type="dxa" w:w="1242"/>
          </w:tcPr>
          <w:p>
            <w:r>
              <w:t>lending_rf_oversample</w:t>
            </w:r>
          </w:p>
        </w:tc>
        <w:tc>
          <w:tcPr>
            <w:tcW w:type="dxa" w:w="1242"/>
          </w:tcPr>
          <w:p>
            <w:r>
              <w:t>lending_club_sample</w:t>
            </w:r>
          </w:p>
        </w:tc>
        <w:tc>
          <w:tcPr>
            <w:tcW w:type="dxa" w:w="1242"/>
          </w:tcPr>
          <w:p>
            <w:r>
              <w:t>random_forest</w:t>
            </w:r>
          </w:p>
        </w:tc>
        <w:tc>
          <w:tcPr>
            <w:tcW w:type="dxa" w:w="1242"/>
          </w:tcPr>
          <w:p>
            <w:r>
              <w:t>oversample</w:t>
            </w:r>
          </w:p>
        </w:tc>
        <w:tc>
          <w:tcPr>
            <w:tcW w:type="dxa" w:w="1242"/>
          </w:tcPr>
          <w:p>
            <w:r>
              <w:t>0.719</w:t>
            </w:r>
          </w:p>
        </w:tc>
        <w:tc>
          <w:tcPr>
            <w:tcW w:type="dxa" w:w="1242"/>
          </w:tcPr>
          <w:p>
            <w:r>
              <w:t>0.383</w:t>
            </w:r>
          </w:p>
        </w:tc>
        <w:tc>
          <w:tcPr>
            <w:tcW w:type="dxa" w:w="1242"/>
          </w:tcPr>
          <w:p>
            <w:r>
              <w:t>0.273</w:t>
            </w:r>
          </w:p>
        </w:tc>
        <w:tc>
          <w:tcPr>
            <w:tcW w:type="dxa" w:w="1242"/>
          </w:tcPr>
          <w:p>
            <w:r>
              <w:t>0.335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2798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Early Findings and Interpretation</w:t>
      </w:r>
    </w:p>
    <w:p>
      <w:r>
        <w:t>For German Credit, the current strongest pilot run is `german_logreg_class_weight`, which achieved test ROC-AUC 0.831, PR-AUC 0.713, recall 0.778, and F1 0.673. This result suggests that class-weighted Logistic Regression remains a strong, transparent baseline on this benchmark.</w:t>
      </w:r>
    </w:p>
    <w:p>
      <w:r>
        <w:t>For the Lending Club sample, the current strongest ROC-AUC run is `lending_logreg_class_weight` with test ROC-AUC 0.722. However, the best ROC-AUC run does not automatically imply the strongest risky-class recall. In this pilot, the class-weighted Logistic Regression run produced comparatively higher recall 0.682, which is important when the research emphasis includes minority-risk detection.</w:t>
      </w:r>
    </w:p>
    <w:p>
      <w:r>
        <w:t>These early results already support the value of the designed benchmark: different models optimize different objectives, and imbalance handling materially affects recall and F1. This gives the report a concrete empirical basis rather than a methodology-only description.</w:t>
      </w:r>
    </w:p>
    <w:p>
      <w:pPr>
        <w:pStyle w:val="Heading1"/>
      </w:pPr>
      <w:r>
        <w:t>8. Explainability Outputs</w:t>
      </w:r>
    </w:p>
    <w:p>
      <w:r>
        <w:t>Feature-importance artifacts were saved for every pilot run. This means the report can already demonstrate the explainability workflow required by RQ3, even before adding SHAP-style analysis in a later phase.</w:t>
      </w:r>
    </w:p>
    <w:p>
      <w:r>
        <w:t>The strongest currently interpretable baseline is the class-weighted Logistic Regression model, which combines competitive predictive performance with straightforward coefficient-based importance ranking.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PaddleOCR Extension: Current Status</w:t>
      </w:r>
    </w:p>
    <w:p>
      <w:r>
        <w:t>The PaddleOCR workstream was intentionally scoped as a supporting module to show how borrower-document ingestion can be integrated into a broader loan-origination pipeline.</w:t>
      </w:r>
    </w:p>
    <w:p>
      <w:r>
        <w:t>OCR pilot environment setup is partially complete but the fine-tuning run has not completed yet.</w:t>
      </w:r>
    </w:p>
    <w:p>
      <w:r>
        <w:t>Current debugging focus: the PaddleOCR bootstrap sequence progressed through package installation, repository clone, synthetic dataset generation, and pretrained archive download, but the run did not yet reach a stable saved fine-tuned checkpoint.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OCR Setup Checkpoint</w:t>
            </w:r>
          </w:p>
        </w:tc>
        <w:tc>
          <w:tcPr>
            <w:tcW w:type="dxa" w:w="4968"/>
          </w:tcPr>
          <w:p>
            <w:r>
              <w:t>Current State</w:t>
            </w:r>
          </w:p>
        </w:tc>
      </w:tr>
      <w:tr>
        <w:tc>
          <w:tcPr>
            <w:tcW w:type="dxa" w:w="4968"/>
          </w:tcPr>
          <w:p>
            <w:r>
              <w:t>Synthetic OCR data prepared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PaddleOCR repository cloned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Pretrained recognition archive downloaded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Pretrained model extracted</w:t>
            </w:r>
          </w:p>
        </w:tc>
        <w:tc>
          <w:tcPr>
            <w:tcW w:type="dxa" w:w="4968"/>
          </w:tcPr>
          <w:p>
            <w:r>
              <w:t>False</w:t>
            </w:r>
          </w:p>
        </w:tc>
      </w:tr>
      <w:tr>
        <w:tc>
          <w:tcPr>
            <w:tcW w:type="dxa" w:w="4968"/>
          </w:tcPr>
          <w:p>
            <w:r>
              <w:t>Training config written</w:t>
            </w:r>
          </w:p>
        </w:tc>
        <w:tc>
          <w:tcPr>
            <w:tcW w:type="dxa" w:w="4968"/>
          </w:tcPr>
          <w:p>
            <w:r>
              <w:t>False</w:t>
            </w:r>
          </w:p>
        </w:tc>
      </w:tr>
      <w:tr>
        <w:tc>
          <w:tcPr>
            <w:tcW w:type="dxa" w:w="4968"/>
          </w:tcPr>
          <w:p>
            <w:r>
              <w:t>Fine-tuned model output available</w:t>
            </w:r>
          </w:p>
        </w:tc>
        <w:tc>
          <w:tcPr>
            <w:tcW w:type="dxa" w:w="4968"/>
          </w:tcPr>
          <w:p>
            <w:r>
              <w:t>False</w:t>
            </w:r>
          </w:p>
        </w:tc>
      </w:tr>
    </w:tbl>
    <w:p>
      <w:r>
        <w:t>What is already done: synthetic OCR label files were generated, the PaddleOCR repository was cloned successfully, and the pretrained recognition archive was downloaded.</w:t>
      </w:r>
    </w:p>
    <w:p>
      <w:r>
        <w:t>What is currently stuck: the fine-tuning bootstrap has not yet produced a stable extracted pretrained checkpoint and saved training output. This is the exact issue being debugged at the moment.</w:t>
      </w:r>
    </w:p>
    <w:p>
      <w:r>
        <w:t>Why this is still worth reporting: the OCR pipeline is clearly documented as work in progress, and it demonstrates concrete engineering progress rather than only a future idea.</w:t>
      </w:r>
    </w:p>
    <w:p>
      <w:pPr>
        <w:pStyle w:val="Heading1"/>
      </w:pPr>
      <w:r>
        <w:t>10. Current Debugging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Observed State</w:t>
            </w:r>
          </w:p>
        </w:tc>
        <w:tc>
          <w:tcPr>
            <w:tcW w:type="dxa" w:w="4968"/>
          </w:tcPr>
          <w:p>
            <w:r>
              <w:t>Interpretation / Debugging Direction</w:t>
            </w:r>
          </w:p>
        </w:tc>
      </w:tr>
      <w:tr>
        <w:tc>
          <w:tcPr>
            <w:tcW w:type="dxa" w:w="4968"/>
          </w:tcPr>
          <w:p>
            <w:r>
              <w:t>`paddlepaddle` and `paddleocr` installed</w:t>
            </w:r>
          </w:p>
        </w:tc>
        <w:tc>
          <w:tcPr>
            <w:tcW w:type="dxa" w:w="4968"/>
          </w:tcPr>
          <w:p>
            <w:r>
              <w:t>Core OCR runtime is available locally.</w:t>
            </w:r>
          </w:p>
        </w:tc>
      </w:tr>
      <w:tr>
        <w:tc>
          <w:tcPr>
            <w:tcW w:type="dxa" w:w="4968"/>
          </w:tcPr>
          <w:p>
            <w:r>
              <w:t>Synthetic OCR dataset generated</w:t>
            </w:r>
          </w:p>
        </w:tc>
        <w:tc>
          <w:tcPr>
            <w:tcW w:type="dxa" w:w="4968"/>
          </w:tcPr>
          <w:p>
            <w:r>
              <w:t>Tiny pilot data is ready for a reduced recognition fine-tuning run.</w:t>
            </w:r>
          </w:p>
        </w:tc>
      </w:tr>
      <w:tr>
        <w:tc>
          <w:tcPr>
            <w:tcW w:type="dxa" w:w="4968"/>
          </w:tcPr>
          <w:p>
            <w:r>
              <w:t>Official PaddleOCR repo cloned</w:t>
            </w:r>
          </w:p>
        </w:tc>
        <w:tc>
          <w:tcPr>
            <w:tcW w:type="dxa" w:w="4968"/>
          </w:tcPr>
          <w:p>
            <w:r>
              <w:t>Training scripts are available in the workspace.</w:t>
            </w:r>
          </w:p>
        </w:tc>
      </w:tr>
      <w:tr>
        <w:tc>
          <w:tcPr>
            <w:tcW w:type="dxa" w:w="4968"/>
          </w:tcPr>
          <w:p>
            <w:r>
              <w:t>Pretrained recognition tar downloaded</w:t>
            </w:r>
          </w:p>
        </w:tc>
        <w:tc>
          <w:tcPr>
            <w:tcW w:type="dxa" w:w="4968"/>
          </w:tcPr>
          <w:p>
            <w:r>
              <w:t>Bootstrap assets are partially available.</w:t>
            </w:r>
          </w:p>
        </w:tc>
      </w:tr>
      <w:tr>
        <w:tc>
          <w:tcPr>
            <w:tcW w:type="dxa" w:w="4968"/>
          </w:tcPr>
          <w:p>
            <w:r>
              <w:t>No final OCR summary or model checkpoint yet</w:t>
            </w:r>
          </w:p>
        </w:tc>
        <w:tc>
          <w:tcPr>
            <w:tcW w:type="dxa" w:w="4968"/>
          </w:tcPr>
          <w:p>
            <w:r>
              <w:t>The run is not complete and needs further debugging before claiming OCR results.</w:t>
            </w:r>
          </w:p>
        </w:tc>
      </w:tr>
    </w:tbl>
    <w:p>
      <w:r>
        <w:t>The honest status is therefore: credit-scoring experiments are complete for the pilot stage, while PaddleOCR fine-tuning is partially set up and actively being debugged.</w:t>
      </w:r>
    </w:p>
    <w:p>
      <w:r>
        <w:t>This separation is important because it allows the current report to present real experimental evidence without overstating the maturity of the OCR extension.</w:t>
      </w:r>
    </w:p>
    <w:p>
      <w:pPr>
        <w:pStyle w:val="Heading1"/>
      </w:pPr>
      <w:r>
        <w:t>11. Limitations</w:t>
      </w:r>
    </w:p>
    <w:p>
      <w:r>
        <w:t>The Lending Club component currently uses a manageable public sample rather than the full raw dataset used in some published studies.</w:t>
      </w:r>
    </w:p>
    <w:p>
      <w:r>
        <w:t>The neural benchmark is still a pilot MLP rather than a more specialized tabular deep architecture.</w:t>
      </w:r>
    </w:p>
    <w:p>
      <w:r>
        <w:t>The OCR component should be treated as engineering progress and experimental setup rather than a completed result section.</w:t>
      </w:r>
    </w:p>
    <w:p>
      <w:pPr>
        <w:pStyle w:val="Heading1"/>
      </w:pPr>
      <w:r>
        <w:t>12.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Priority</w:t>
            </w:r>
          </w:p>
        </w:tc>
        <w:tc>
          <w:tcPr>
            <w:tcW w:type="dxa" w:w="4968"/>
          </w:tcPr>
          <w:p>
            <w:r>
              <w:t>Next Action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Complete the PaddleOCR bootstrap and obtain the first saved fine-tuned recognition checkpoint.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Add held-out OCR evaluation metrics once the fine-tuned model runs successfully.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Extend explainability with SHAP-style analysis if dependency/runtime costs remain acceptable.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Run a larger Lending Club subset or the full public dataset if time and compute permit.</w:t>
            </w:r>
          </w:p>
        </w:tc>
      </w:tr>
    </w:tbl>
    <w:p>
      <w:pPr>
        <w:pStyle w:val="Heading1"/>
      </w:pPr>
      <w:r>
        <w:t>13. Meeting Note</w:t>
      </w:r>
    </w:p>
    <w:p>
      <w:r>
        <w:t>To avoid confusion in supervisor communication, this report uses absolute dates. The earlier email thread referred to a meeting on Thursday 22 April 2026, but 22 April 2026 was a Wednesday. If the intended Thursday schedule is preserved, the matching date is Thursday 23 April 2026.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