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6"/>
        </w:rPr>
        <w:t>PROJECT REPORT</w:t>
      </w:r>
    </w:p>
    <w:p>
      <w:pPr>
        <w:jc w:val="center"/>
      </w:pPr>
      <w:r>
        <w:rPr>
          <w:rFonts w:ascii="Times New Roman" w:hAnsi="Times New Roman"/>
          <w:b/>
          <w:i w:val="0"/>
          <w:sz w:val="26"/>
        </w:rPr>
        <w:t>OF</w:t>
      </w:r>
    </w:p>
    <w:p>
      <w:pPr>
        <w:jc w:val="center"/>
      </w:pPr>
      <w:r>
        <w:rPr>
          <w:rFonts w:ascii="Times New Roman" w:hAnsi="Times New Roman"/>
          <w:b/>
          <w:i w:val="0"/>
          <w:sz w:val="32"/>
        </w:rPr>
        <w:t>CO-OP Project at Industry (Module-2)</w:t>
      </w:r>
    </w:p>
    <w:p>
      <w:pPr>
        <w:jc w:val="center"/>
      </w:pPr>
      <w:r>
        <w:rPr>
          <w:rFonts w:ascii="Times New Roman" w:hAnsi="Times New Roman"/>
          <w:b/>
          <w:i w:val="0"/>
          <w:sz w:val="26"/>
        </w:rPr>
        <w:t>ON</w:t>
      </w:r>
    </w:p>
    <w:p>
      <w:pPr>
        <w:jc w:val="center"/>
      </w:pPr>
      <w:r>
        <w:rPr>
          <w:rFonts w:ascii="Times New Roman" w:hAnsi="Times New Roman"/>
          <w:b/>
          <w:i w:val="0"/>
          <w:sz w:val="32"/>
        </w:rPr>
        <w:t>AI-Powered Credit Scoring and Document OCR System for Loan Risk Assessment</w:t>
      </w:r>
    </w:p>
    <w:p>
      <w:pPr>
        <w:jc w:val="center"/>
      </w:pPr>
      <w:r>
        <w:rPr>
          <w:rFonts w:ascii="Times New Roman" w:hAnsi="Times New Roman"/>
          <w:b w:val="0"/>
          <w:i w:val="0"/>
          <w:sz w:val="22"/>
        </w:rPr>
        <w:t>Submitted in partial fulfilment of the requirements for the award of degree of</w:t>
      </w:r>
    </w:p>
    <w:p>
      <w:pPr>
        <w:jc w:val="center"/>
      </w:pPr>
      <w:r>
        <w:rPr>
          <w:rFonts w:ascii="Times New Roman" w:hAnsi="Times New Roman"/>
          <w:b/>
          <w:i w:val="0"/>
          <w:sz w:val="28"/>
        </w:rPr>
        <w:t>BACHELOR OF ENGINEERING</w:t>
      </w:r>
    </w:p>
    <w:p>
      <w:pPr>
        <w:jc w:val="center"/>
      </w:pPr>
      <w:r>
        <w:rPr>
          <w:rFonts w:ascii="Times New Roman" w:hAnsi="Times New Roman"/>
          <w:b/>
          <w:i w:val="0"/>
          <w:sz w:val="26"/>
        </w:rPr>
        <w:t>In Computer Science and Engineering</w:t>
      </w:r>
    </w:p>
    <w:p/>
    <w:p>
      <w:pPr>
        <w:jc w:val="center"/>
      </w:pPr>
      <w:r>
        <w:rPr>
          <w:rFonts w:ascii="Times New Roman" w:hAnsi="Times New Roman"/>
          <w:b/>
          <w:i w:val="0"/>
          <w:sz w:val="26"/>
        </w:rPr>
        <w:t>Submitted by</w:t>
      </w:r>
    </w:p>
    <w:p>
      <w:pPr>
        <w:jc w:val="center"/>
      </w:pPr>
      <w:r>
        <w:rPr>
          <w:rFonts w:ascii="Times New Roman" w:hAnsi="Times New Roman"/>
          <w:b w:val="0"/>
          <w:i w:val="0"/>
          <w:sz w:val="24"/>
        </w:rPr>
        <w:t>Om Tomar (2210994882)</w:t>
      </w:r>
    </w:p>
    <w:p>
      <w:pPr>
        <w:jc w:val="center"/>
      </w:pPr>
      <w:r>
        <w:rPr>
          <w:rFonts w:ascii="Times New Roman" w:hAnsi="Times New Roman"/>
          <w:b w:val="0"/>
          <w:i w:val="0"/>
          <w:sz w:val="24"/>
        </w:rPr>
        <w:t>Sahajpal Singh (2210994831)</w:t>
      </w:r>
    </w:p>
    <w:p>
      <w:pPr>
        <w:jc w:val="center"/>
      </w:pPr>
      <w:r>
        <w:rPr>
          <w:rFonts w:ascii="Times New Roman" w:hAnsi="Times New Roman"/>
          <w:b w:val="0"/>
          <w:i w:val="0"/>
          <w:sz w:val="24"/>
        </w:rPr>
        <w:t>Ridhima Chopra (2210994826)</w:t>
      </w:r>
    </w:p>
    <w:p>
      <w:pPr>
        <w:jc w:val="center"/>
      </w:pPr>
      <w:r>
        <w:rPr>
          <w:rFonts w:ascii="Times New Roman" w:hAnsi="Times New Roman"/>
          <w:b w:val="0"/>
          <w:i w:val="0"/>
          <w:sz w:val="24"/>
        </w:rPr>
        <w:t>Ishpreet Kaur (2210990424)</w:t>
      </w:r>
    </w:p>
    <w:p/>
    <w:p>
      <w:pPr>
        <w:jc w:val="center"/>
      </w:pPr>
      <w:r>
        <w:rPr>
          <w:rFonts w:ascii="Times New Roman" w:hAnsi="Times New Roman"/>
          <w:b/>
          <w:i w:val="0"/>
          <w:sz w:val="24"/>
        </w:rPr>
        <w:t>Supervised By: Lalit Sharma</w:t>
      </w:r>
    </w:p>
    <w:p>
      <w:pPr>
        <w:jc w:val="center"/>
      </w:pPr>
      <w:r>
        <w:rPr>
          <w:rFonts w:ascii="Times New Roman" w:hAnsi="Times New Roman"/>
          <w:b/>
          <w:i w:val="0"/>
          <w:sz w:val="22"/>
        </w:rPr>
        <w:t>Department of Computer Science and Engineering</w:t>
      </w:r>
    </w:p>
    <w:p>
      <w:pPr>
        <w:jc w:val="center"/>
      </w:pPr>
      <w:r>
        <w:rPr>
          <w:rFonts w:ascii="Times New Roman" w:hAnsi="Times New Roman"/>
          <w:b/>
          <w:i w:val="0"/>
          <w:sz w:val="22"/>
        </w:rPr>
        <w:t>Chitkara University Institute of Engineering and Technology</w:t>
      </w:r>
    </w:p>
    <w:p>
      <w:pPr>
        <w:jc w:val="center"/>
      </w:pPr>
      <w:r>
        <w:rPr>
          <w:rFonts w:ascii="Times New Roman" w:hAnsi="Times New Roman"/>
          <w:b/>
          <w:i w:val="0"/>
          <w:sz w:val="22"/>
        </w:rPr>
        <w:t>Chitkara University, Punjab, India</w:t>
      </w:r>
    </w:p>
    <w:p>
      <w:pPr>
        <w:sectPr>
          <w:headerReference w:type="default" r:id="rId10"/>
          <w:footerReference w:type="default" r:id="rId11"/>
          <w:pgSz w:w="12240" w:h="15840"/>
          <w:pgMar w:top="1080" w:right="1224" w:bottom="1080" w:left="1224" w:header="0" w:footer="720" w:gutter="0"/>
          <w:pgNumType w:start="1"/>
          <w:cols w:space="720"/>
        </w:sectPr>
      </w:pPr>
    </w:p>
    <w:p>
      <w:pPr>
        <w:pStyle w:val="Heading1"/>
      </w:pPr>
      <w:r>
        <w:rPr>
          <w:rFonts w:ascii="Times New Roman" w:hAnsi="Times New Roman"/>
          <w:color w:val="000000"/>
        </w:rPr>
        <w:t>DECLARATION</w:t>
      </w:r>
    </w:p>
    <w:p>
      <w:pPr>
        <w:jc w:val="both"/>
      </w:pPr>
      <w:r>
        <w:t>We hereby certify that the work presented in the project report entitled "AI-Powered Credit Scoring and Document OCR System for Loan Risk Assessment" is an authentic record of our project work carried out under the supervision of Lalit Sharma. The matter presented in this report has not been submitted elsewhere for the award of any degree. The project is prepared for copyright-oriented submission and academic evaluation.</w:t>
      </w:r>
    </w:p>
    <w:p>
      <w:r>
        <w:t>Place: Rajpura</w:t>
      </w:r>
    </w:p>
    <w:p>
      <w:r>
        <w:t>Date: 30 April 2026</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Student Name</w:t>
            </w:r>
          </w:p>
        </w:tc>
        <w:tc>
          <w:tcPr>
            <w:tcW w:type="dxa" w:w="4896"/>
            <w:vAlign w:val="center"/>
          </w:tcPr>
          <w:p>
            <w:r>
              <w:rPr>
                <w:b/>
              </w:rPr>
              <w:t>University Roll Number</w:t>
            </w:r>
          </w:p>
        </w:tc>
      </w:tr>
      <w:tr>
        <w:tc>
          <w:tcPr>
            <w:tcW w:type="dxa" w:w="4896"/>
          </w:tcPr>
          <w:p>
            <w:r>
              <w:t>Om Tomar</w:t>
            </w:r>
          </w:p>
        </w:tc>
        <w:tc>
          <w:tcPr>
            <w:tcW w:type="dxa" w:w="4896"/>
          </w:tcPr>
          <w:p>
            <w:r>
              <w:t>2210994882</w:t>
            </w:r>
          </w:p>
        </w:tc>
      </w:tr>
      <w:tr>
        <w:tc>
          <w:tcPr>
            <w:tcW w:type="dxa" w:w="4896"/>
          </w:tcPr>
          <w:p>
            <w:r>
              <w:t>Sahajpal Singh</w:t>
            </w:r>
          </w:p>
        </w:tc>
        <w:tc>
          <w:tcPr>
            <w:tcW w:type="dxa" w:w="4896"/>
          </w:tcPr>
          <w:p>
            <w:r>
              <w:t>2210994831</w:t>
            </w:r>
          </w:p>
        </w:tc>
      </w:tr>
      <w:tr>
        <w:tc>
          <w:tcPr>
            <w:tcW w:type="dxa" w:w="4896"/>
          </w:tcPr>
          <w:p>
            <w:r>
              <w:t>Ridhima Chopra</w:t>
            </w:r>
          </w:p>
        </w:tc>
        <w:tc>
          <w:tcPr>
            <w:tcW w:type="dxa" w:w="4896"/>
          </w:tcPr>
          <w:p>
            <w:r>
              <w:t>2210994826</w:t>
            </w:r>
          </w:p>
        </w:tc>
      </w:tr>
      <w:tr>
        <w:tc>
          <w:tcPr>
            <w:tcW w:type="dxa" w:w="4896"/>
          </w:tcPr>
          <w:p>
            <w:r>
              <w:t>Ishpreet Kaur</w:t>
            </w:r>
          </w:p>
        </w:tc>
        <w:tc>
          <w:tcPr>
            <w:tcW w:type="dxa" w:w="4896"/>
          </w:tcPr>
          <w:p>
            <w:r>
              <w:t>2210990424</w:t>
            </w:r>
          </w:p>
        </w:tc>
      </w:tr>
    </w:tbl>
    <w:p>
      <w:pPr>
        <w:pStyle w:val="Heading1"/>
      </w:pPr>
      <w:r>
        <w:rPr>
          <w:rFonts w:ascii="Times New Roman" w:hAnsi="Times New Roman"/>
          <w:color w:val="000000"/>
        </w:rPr>
        <w:t>ACKNOWLEDGEMENT</w:t>
      </w:r>
    </w:p>
    <w:p>
      <w:pPr>
        <w:jc w:val="both"/>
      </w:pPr>
      <w:r>
        <w:t>We express our sincere gratitude to our mentor Lalit Sharma and the Department of Computer Science and Engineering, Chitkara University, for guidance and evaluation support. We also acknowledge the public datasets, open-source libraries, and research references that enabled this reproducible implementation.</w:t>
      </w:r>
    </w:p>
    <w:p>
      <w:pPr>
        <w:pStyle w:val="Heading1"/>
      </w:pPr>
      <w:r>
        <w:rPr>
          <w:rFonts w:ascii="Times New Roman" w:hAnsi="Times New Roman"/>
          <w:color w:val="000000"/>
        </w:rPr>
        <w:t>CONTENTS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S.No.</w:t>
            </w:r>
          </w:p>
        </w:tc>
        <w:tc>
          <w:tcPr>
            <w:tcW w:type="dxa" w:w="3264"/>
            <w:vAlign w:val="center"/>
          </w:tcPr>
          <w:p>
            <w:r>
              <w:rPr>
                <w:b/>
              </w:rPr>
              <w:t>Title</w:t>
            </w:r>
          </w:p>
        </w:tc>
        <w:tc>
          <w:tcPr>
            <w:tcW w:type="dxa" w:w="3264"/>
            <w:vAlign w:val="center"/>
          </w:tcPr>
          <w:p>
            <w:r>
              <w:rPr>
                <w:b/>
              </w:rPr>
              <w:t>Page No.</w:t>
            </w:r>
          </w:p>
        </w:tc>
      </w:tr>
      <w:tr>
        <w:tc>
          <w:tcPr>
            <w:tcW w:type="dxa" w:w="3264"/>
          </w:tcPr>
          <w:p>
            <w:r>
              <w:t>1</w:t>
            </w:r>
          </w:p>
        </w:tc>
        <w:tc>
          <w:tcPr>
            <w:tcW w:type="dxa" w:w="3264"/>
          </w:tcPr>
          <w:p>
            <w:r>
              <w:t>Abstract</w:t>
            </w:r>
          </w:p>
        </w:tc>
        <w:tc>
          <w:tcPr>
            <w:tcW w:type="dxa" w:w="3264"/>
          </w:tcPr>
          <w:p>
            <w:r>
              <w:t>1</w:t>
            </w:r>
          </w:p>
        </w:tc>
      </w:tr>
      <w:tr>
        <w:tc>
          <w:tcPr>
            <w:tcW w:type="dxa" w:w="3264"/>
          </w:tcPr>
          <w:p>
            <w:r>
              <w:t>2</w:t>
            </w:r>
          </w:p>
        </w:tc>
        <w:tc>
          <w:tcPr>
            <w:tcW w:type="dxa" w:w="3264"/>
          </w:tcPr>
          <w:p>
            <w:r>
              <w:t>Introduction</w:t>
            </w:r>
          </w:p>
        </w:tc>
        <w:tc>
          <w:tcPr>
            <w:tcW w:type="dxa" w:w="3264"/>
          </w:tcPr>
          <w:p>
            <w:r>
              <w:t>2</w:t>
            </w:r>
          </w:p>
        </w:tc>
      </w:tr>
      <w:tr>
        <w:tc>
          <w:tcPr>
            <w:tcW w:type="dxa" w:w="3264"/>
          </w:tcPr>
          <w:p>
            <w:r>
              <w:t>3</w:t>
            </w:r>
          </w:p>
        </w:tc>
        <w:tc>
          <w:tcPr>
            <w:tcW w:type="dxa" w:w="3264"/>
          </w:tcPr>
          <w:p>
            <w:r>
              <w:t>Methodology</w:t>
            </w:r>
          </w:p>
        </w:tc>
        <w:tc>
          <w:tcPr>
            <w:tcW w:type="dxa" w:w="3264"/>
          </w:tcPr>
          <w:p>
            <w:r>
              <w:t>4</w:t>
            </w:r>
          </w:p>
        </w:tc>
      </w:tr>
      <w:tr>
        <w:tc>
          <w:tcPr>
            <w:tcW w:type="dxa" w:w="3264"/>
          </w:tcPr>
          <w:p>
            <w:r>
              <w:t>4</w:t>
            </w:r>
          </w:p>
        </w:tc>
        <w:tc>
          <w:tcPr>
            <w:tcW w:type="dxa" w:w="3264"/>
          </w:tcPr>
          <w:p>
            <w:r>
              <w:t>Tools and Technologies</w:t>
            </w:r>
          </w:p>
        </w:tc>
        <w:tc>
          <w:tcPr>
            <w:tcW w:type="dxa" w:w="3264"/>
          </w:tcPr>
          <w:p>
            <w:r>
              <w:t>6</w:t>
            </w:r>
          </w:p>
        </w:tc>
      </w:tr>
      <w:tr>
        <w:tc>
          <w:tcPr>
            <w:tcW w:type="dxa" w:w="3264"/>
          </w:tcPr>
          <w:p>
            <w:r>
              <w:t>5</w:t>
            </w:r>
          </w:p>
        </w:tc>
        <w:tc>
          <w:tcPr>
            <w:tcW w:type="dxa" w:w="3264"/>
          </w:tcPr>
          <w:p>
            <w:r>
              <w:t>Implementation</w:t>
            </w:r>
          </w:p>
        </w:tc>
        <w:tc>
          <w:tcPr>
            <w:tcW w:type="dxa" w:w="3264"/>
          </w:tcPr>
          <w:p>
            <w:r>
              <w:t>7</w:t>
            </w:r>
          </w:p>
        </w:tc>
      </w:tr>
      <w:tr>
        <w:tc>
          <w:tcPr>
            <w:tcW w:type="dxa" w:w="3264"/>
          </w:tcPr>
          <w:p>
            <w:r>
              <w:t>6</w:t>
            </w:r>
          </w:p>
        </w:tc>
        <w:tc>
          <w:tcPr>
            <w:tcW w:type="dxa" w:w="3264"/>
          </w:tcPr>
          <w:p>
            <w:r>
              <w:t>Major Findings/Outcomes/Results</w:t>
            </w:r>
          </w:p>
        </w:tc>
        <w:tc>
          <w:tcPr>
            <w:tcW w:type="dxa" w:w="3264"/>
          </w:tcPr>
          <w:p>
            <w:r>
              <w:t>10</w:t>
            </w:r>
          </w:p>
        </w:tc>
      </w:tr>
      <w:tr>
        <w:tc>
          <w:tcPr>
            <w:tcW w:type="dxa" w:w="3264"/>
          </w:tcPr>
          <w:p>
            <w:r>
              <w:t>7</w:t>
            </w:r>
          </w:p>
        </w:tc>
        <w:tc>
          <w:tcPr>
            <w:tcW w:type="dxa" w:w="3264"/>
          </w:tcPr>
          <w:p>
            <w:r>
              <w:t>Conclusion and Future Scope</w:t>
            </w:r>
          </w:p>
        </w:tc>
        <w:tc>
          <w:tcPr>
            <w:tcW w:type="dxa" w:w="3264"/>
          </w:tcPr>
          <w:p>
            <w:r>
              <w:t>13</w:t>
            </w:r>
          </w:p>
        </w:tc>
      </w:tr>
      <w:tr>
        <w:tc>
          <w:tcPr>
            <w:tcW w:type="dxa" w:w="3264"/>
          </w:tcPr>
          <w:p>
            <w:r>
              <w:t>8</w:t>
            </w:r>
          </w:p>
        </w:tc>
        <w:tc>
          <w:tcPr>
            <w:tcW w:type="dxa" w:w="3264"/>
          </w:tcPr>
          <w:p>
            <w:r>
              <w:t>References</w:t>
            </w:r>
          </w:p>
        </w:tc>
        <w:tc>
          <w:tcPr>
            <w:tcW w:type="dxa" w:w="3264"/>
          </w:tcPr>
          <w:p>
            <w:r>
              <w:t>14</w:t>
            </w:r>
          </w:p>
        </w:tc>
      </w:tr>
      <w:tr>
        <w:tc>
          <w:tcPr>
            <w:tcW w:type="dxa" w:w="3264"/>
          </w:tcPr>
          <w:p>
            <w:r>
              <w:t>9</w:t>
            </w:r>
          </w:p>
        </w:tc>
        <w:tc>
          <w:tcPr>
            <w:tcW w:type="dxa" w:w="3264"/>
          </w:tcPr>
          <w:p>
            <w:r>
              <w:t>Appendices</w:t>
            </w:r>
          </w:p>
        </w:tc>
        <w:tc>
          <w:tcPr>
            <w:tcW w:type="dxa" w:w="3264"/>
          </w:tcPr>
          <w:p>
            <w:r>
              <w:t>15</w:t>
            </w:r>
          </w:p>
        </w:tc>
      </w:tr>
    </w:tbl>
    <w:p>
      <w:pPr>
        <w:pStyle w:val="Heading1"/>
      </w:pPr>
      <w:r>
        <w:rPr>
          <w:rFonts w:ascii="Times New Roman" w:hAnsi="Times New Roman"/>
          <w:color w:val="000000"/>
        </w:rPr>
        <w:t>ABSTRACT</w:t>
      </w:r>
    </w:p>
    <w:p>
      <w:pPr>
        <w:jc w:val="both"/>
      </w:pPr>
      <w:r>
        <w:t>Loan-risk assessment requires reliable analysis of applicant profile data as well as supporting documents submitted during onboarding. This project implements an AI-powered credit scoring and document OCR system for loan risk assessment. The credit-scoring component benchmarks machine learning and neural network models on German Credit and Lending Club sample data. The document-intelligence component uses a PaddleOCR-oriented workflow to demonstrate how loan documents can be prepared for automated field extraction.</w:t>
      </w:r>
    </w:p>
    <w:p>
      <w:pPr>
        <w:jc w:val="both"/>
      </w:pPr>
      <w:r>
        <w:t>The implemented benchmark compares Logistic Regression, Random Forest, Gradient Boosting, and Multi-Layer Perceptron models using ROC-AUC, PR-AUC, recall, F1-score, accuracy, confusion matrices, and feature-importance outputs. The best German Credit pilot achieved ROC-AUC 0.831, while the best Lending Club sample pilot achieved ROC-AUC 0.722. The OCR component is presented as an implemented PaddleOCR workflow that is ready for evaluation on real scanned borrower documents.</w:t>
      </w:r>
    </w:p>
    <w:p>
      <w:pPr>
        <w:pStyle w:val="Heading1"/>
      </w:pPr>
      <w:r>
        <w:rPr>
          <w:rFonts w:ascii="Times New Roman" w:hAnsi="Times New Roman"/>
          <w:color w:val="000000"/>
        </w:rPr>
        <w:t>1. INTRODUCTION</w:t>
      </w:r>
    </w:p>
    <w:p>
      <w:pPr>
        <w:jc w:val="both"/>
      </w:pPr>
      <w:r>
        <w:t>Credit scoring is a central decision-support process in banking and financial technology. Traditional rule-based approaches are easy to audit but can miss complex nonlinear risk patterns. Modern machine learning methods improve predictive quality, but they must also remain transparent, traceable, and reproducible for responsible lending use cases.</w:t>
      </w:r>
    </w:p>
    <w:p>
      <w:pPr>
        <w:jc w:val="both"/>
      </w:pPr>
      <w:r>
        <w:t>This project combines a tabular credit-risk benchmark with an OCR extension because real loan workflows depend on both structured applicant data and submitted documents. The final package is designed for GitHub evaluation: code, datasets, experiment artifacts, report, presentation, and IPR placeholder are organized in a submission-ready structure.</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Objective</w:t>
            </w:r>
          </w:p>
        </w:tc>
        <w:tc>
          <w:tcPr>
            <w:tcW w:type="dxa" w:w="4896"/>
            <w:vAlign w:val="center"/>
          </w:tcPr>
          <w:p>
            <w:r>
              <w:rPr>
                <w:b/>
              </w:rPr>
              <w:t>Description</w:t>
            </w:r>
          </w:p>
        </w:tc>
      </w:tr>
      <w:tr>
        <w:tc>
          <w:tcPr>
            <w:tcW w:type="dxa" w:w="4896"/>
          </w:tcPr>
          <w:p>
            <w:r>
              <w:t>O1</w:t>
            </w:r>
          </w:p>
        </w:tc>
        <w:tc>
          <w:tcPr>
            <w:tcW w:type="dxa" w:w="4896"/>
          </w:tcPr>
          <w:p>
            <w:r>
              <w:t>Build a reproducible benchmark for credit-risk prediction.</w:t>
            </w:r>
          </w:p>
        </w:tc>
      </w:tr>
      <w:tr>
        <w:tc>
          <w:tcPr>
            <w:tcW w:type="dxa" w:w="4896"/>
          </w:tcPr>
          <w:p>
            <w:r>
              <w:t>O2</w:t>
            </w:r>
          </w:p>
        </w:tc>
        <w:tc>
          <w:tcPr>
            <w:tcW w:type="dxa" w:w="4896"/>
          </w:tcPr>
          <w:p>
            <w:r>
              <w:t>Compare classical and neural models under consistent metrics.</w:t>
            </w:r>
          </w:p>
        </w:tc>
      </w:tr>
      <w:tr>
        <w:tc>
          <w:tcPr>
            <w:tcW w:type="dxa" w:w="4896"/>
          </w:tcPr>
          <w:p>
            <w:r>
              <w:t>O3</w:t>
            </w:r>
          </w:p>
        </w:tc>
        <w:tc>
          <w:tcPr>
            <w:tcW w:type="dxa" w:w="4896"/>
          </w:tcPr>
          <w:p>
            <w:r>
              <w:t>Preserve explainability through saved feature-importance artifacts.</w:t>
            </w:r>
          </w:p>
        </w:tc>
      </w:tr>
      <w:tr>
        <w:tc>
          <w:tcPr>
            <w:tcW w:type="dxa" w:w="4896"/>
          </w:tcPr>
          <w:p>
            <w:r>
              <w:t>O4</w:t>
            </w:r>
          </w:p>
        </w:tc>
        <w:tc>
          <w:tcPr>
            <w:tcW w:type="dxa" w:w="4896"/>
          </w:tcPr>
          <w:p>
            <w:r>
              <w:t>Show how PaddleOCR can support borrower-document intake.</w:t>
            </w:r>
          </w:p>
        </w:tc>
      </w:tr>
    </w:tbl>
    <w:p>
      <w:pPr>
        <w:pStyle w:val="Heading1"/>
      </w:pPr>
      <w:r>
        <w:rPr>
          <w:rFonts w:ascii="Times New Roman" w:hAnsi="Times New Roman"/>
          <w:color w:val="000000"/>
        </w:rPr>
        <w:t>2. METHODOLOGY</w:t>
      </w:r>
    </w:p>
    <w:p>
      <w:pPr>
        <w:jc w:val="both"/>
      </w:pPr>
      <w:r>
        <w:t>The project follows a reproducible pipeline: dataset loading, preprocessing, model training, validation, testing, metric export, and report generation. All numerical credit-scoring claims in this report are derived from saved artifacts in the repository rather than manual entry.</w:t>
      </w:r>
    </w:p>
    <w:p>
      <w:r>
        <w:drawing>
          <wp:inline xmlns:a="http://schemas.openxmlformats.org/drawingml/2006/main" xmlns:pic="http://schemas.openxmlformats.org/drawingml/2006/picture">
            <wp:extent cx="6035040" cy="2171087"/>
            <wp:docPr id="1" name="Picture 1"/>
            <wp:cNvGraphicFramePr>
              <a:graphicFrameLocks noChangeAspect="1"/>
            </wp:cNvGraphicFramePr>
            <a:graphic>
              <a:graphicData uri="http://schemas.openxmlformats.org/drawingml/2006/picture">
                <pic:pic>
                  <pic:nvPicPr>
                    <pic:cNvPr id="0" name="methodology_flow.png"/>
                    <pic:cNvPicPr/>
                  </pic:nvPicPr>
                  <pic:blipFill>
                    <a:blip r:embed="rId14"/>
                    <a:stretch>
                      <a:fillRect/>
                    </a:stretch>
                  </pic:blipFill>
                  <pic:spPr>
                    <a:xfrm>
                      <a:off x="0" y="0"/>
                      <a:ext cx="6035040" cy="2171087"/>
                    </a:xfrm>
                    <a:prstGeom prst="rect"/>
                  </pic:spPr>
                </pic:pic>
              </a:graphicData>
            </a:graphic>
          </wp:inline>
        </w:drawing>
      </w:r>
    </w:p>
    <w:p>
      <w:pPr>
        <w:jc w:val="center"/>
      </w:pPr>
      <w:r>
        <w:rPr>
          <w:i/>
        </w:rPr>
        <w:t>Figure 1: Overall project methodology and OCR extension.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Dataset</w:t>
            </w:r>
          </w:p>
        </w:tc>
        <w:tc>
          <w:tcPr>
            <w:tcW w:type="dxa" w:w="3264"/>
            <w:vAlign w:val="center"/>
          </w:tcPr>
          <w:p>
            <w:r>
              <w:rPr>
                <w:b/>
              </w:rPr>
              <w:t>Use</w:t>
            </w:r>
          </w:p>
        </w:tc>
        <w:tc>
          <w:tcPr>
            <w:tcW w:type="dxa" w:w="3264"/>
            <w:vAlign w:val="center"/>
          </w:tcPr>
          <w:p>
            <w:r>
              <w:rPr>
                <w:b/>
              </w:rPr>
              <w:t>Notes</w:t>
            </w:r>
          </w:p>
        </w:tc>
      </w:tr>
      <w:tr>
        <w:tc>
          <w:tcPr>
            <w:tcW w:type="dxa" w:w="3264"/>
          </w:tcPr>
          <w:p>
            <w:r>
              <w:t>German Credit</w:t>
            </w:r>
          </w:p>
        </w:tc>
        <w:tc>
          <w:tcPr>
            <w:tcW w:type="dxa" w:w="3264"/>
          </w:tcPr>
          <w:p>
            <w:r>
              <w:t>Credit-risk benchmark</w:t>
            </w:r>
          </w:p>
        </w:tc>
        <w:tc>
          <w:tcPr>
            <w:tcW w:type="dxa" w:w="3264"/>
          </w:tcPr>
          <w:p>
            <w:r>
              <w:t>Public UCI dataset with binary risk labels.</w:t>
            </w:r>
          </w:p>
        </w:tc>
      </w:tr>
      <w:tr>
        <w:tc>
          <w:tcPr>
            <w:tcW w:type="dxa" w:w="3264"/>
          </w:tcPr>
          <w:p>
            <w:r>
              <w:t>Lending Club Sample</w:t>
            </w:r>
          </w:p>
        </w:tc>
        <w:tc>
          <w:tcPr>
            <w:tcW w:type="dxa" w:w="3264"/>
          </w:tcPr>
          <w:p>
            <w:r>
              <w:t>Credit-risk benchmark</w:t>
            </w:r>
          </w:p>
        </w:tc>
        <w:tc>
          <w:tcPr>
            <w:tcW w:type="dxa" w:w="3264"/>
          </w:tcPr>
          <w:p>
            <w:r>
              <w:t>Public sample used for manageable evaluation.</w:t>
            </w:r>
          </w:p>
        </w:tc>
      </w:tr>
      <w:tr>
        <w:tc>
          <w:tcPr>
            <w:tcW w:type="dxa" w:w="3264"/>
          </w:tcPr>
          <w:p>
            <w:r>
              <w:t>Borrower Documents</w:t>
            </w:r>
          </w:p>
        </w:tc>
        <w:tc>
          <w:tcPr>
            <w:tcW w:type="dxa" w:w="3264"/>
          </w:tcPr>
          <w:p>
            <w:r>
              <w:t>Document-intake workflow</w:t>
            </w:r>
          </w:p>
        </w:tc>
        <w:tc>
          <w:tcPr>
            <w:tcW w:type="dxa" w:w="3264"/>
          </w:tcPr>
          <w:p>
            <w:r>
              <w:t>PaddleOCR pipeline prepared for scanned loan forms and manually verified field labels.</w:t>
            </w:r>
          </w:p>
        </w:tc>
      </w:tr>
    </w:tbl>
    <w:p>
      <w:pPr>
        <w:pStyle w:val="Heading1"/>
      </w:pPr>
      <w:r>
        <w:rPr>
          <w:rFonts w:ascii="Times New Roman" w:hAnsi="Times New Roman"/>
          <w:color w:val="000000"/>
        </w:rPr>
        <w:t>3. TOOLS AND TECHNOLOGIES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Layer</w:t>
            </w:r>
          </w:p>
        </w:tc>
        <w:tc>
          <w:tcPr>
            <w:tcW w:type="dxa" w:w="4896"/>
            <w:vAlign w:val="center"/>
          </w:tcPr>
          <w:p>
            <w:r>
              <w:rPr>
                <w:b/>
              </w:rPr>
              <w:t>Technologies</w:t>
            </w:r>
          </w:p>
        </w:tc>
      </w:tr>
      <w:tr>
        <w:tc>
          <w:tcPr>
            <w:tcW w:type="dxa" w:w="4896"/>
          </w:tcPr>
          <w:p>
            <w:r>
              <w:t>Programming</w:t>
            </w:r>
          </w:p>
        </w:tc>
        <w:tc>
          <w:tcPr>
            <w:tcW w:type="dxa" w:w="4896"/>
          </w:tcPr>
          <w:p>
            <w:r>
              <w:t>Python 3, modular package structure</w:t>
            </w:r>
          </w:p>
        </w:tc>
      </w:tr>
      <w:tr>
        <w:tc>
          <w:tcPr>
            <w:tcW w:type="dxa" w:w="4896"/>
          </w:tcPr>
          <w:p>
            <w:r>
              <w:t>Machine Learning</w:t>
            </w:r>
          </w:p>
        </w:tc>
        <w:tc>
          <w:tcPr>
            <w:tcW w:type="dxa" w:w="4896"/>
          </w:tcPr>
          <w:p>
            <w:r>
              <w:t>scikit-learn, pandas, NumPy</w:t>
            </w:r>
          </w:p>
        </w:tc>
      </w:tr>
      <w:tr>
        <w:tc>
          <w:tcPr>
            <w:tcW w:type="dxa" w:w="4896"/>
          </w:tcPr>
          <w:p>
            <w:r>
              <w:t>Visualization</w:t>
            </w:r>
          </w:p>
        </w:tc>
        <w:tc>
          <w:tcPr>
            <w:tcW w:type="dxa" w:w="4896"/>
          </w:tcPr>
          <w:p>
            <w:r>
              <w:t>matplotlib, saved ROC/PR/confusion/importance plots</w:t>
            </w:r>
          </w:p>
        </w:tc>
      </w:tr>
      <w:tr>
        <w:tc>
          <w:tcPr>
            <w:tcW w:type="dxa" w:w="4896"/>
          </w:tcPr>
          <w:p>
            <w:r>
              <w:t>OCR</w:t>
            </w:r>
          </w:p>
        </w:tc>
        <w:tc>
          <w:tcPr>
            <w:tcW w:type="dxa" w:w="4896"/>
          </w:tcPr>
          <w:p>
            <w:r>
              <w:t>PaddleOCR workflow, preprocessing, recognition, and field-extraction design</w:t>
            </w:r>
          </w:p>
        </w:tc>
      </w:tr>
      <w:tr>
        <w:tc>
          <w:tcPr>
            <w:tcW w:type="dxa" w:w="4896"/>
          </w:tcPr>
          <w:p>
            <w:r>
              <w:t>Documentation</w:t>
            </w:r>
          </w:p>
        </w:tc>
        <w:tc>
          <w:tcPr>
            <w:tcW w:type="dxa" w:w="4896"/>
          </w:tcPr>
          <w:p>
            <w:r>
              <w:t>python-docx, python-pptx, Markdown, GitHub</w:t>
            </w:r>
          </w:p>
        </w:tc>
      </w:tr>
    </w:tbl>
    <w:p>
      <w:pPr>
        <w:pStyle w:val="Heading1"/>
      </w:pPr>
      <w:r>
        <w:rPr>
          <w:rFonts w:ascii="Times New Roman" w:hAnsi="Times New Roman"/>
          <w:color w:val="000000"/>
        </w:rPr>
        <w:t>4. IMPLEMENTATION</w:t>
      </w:r>
    </w:p>
    <w:p>
      <w:pPr>
        <w:jc w:val="both"/>
      </w:pPr>
      <w:r>
        <w:t>The source code is organized into credit-scoring and document-OCR modules. The credit-scoring runner reads a JSON benchmark suite, executes each model configuration, saves metrics and plots, and exports a benchmark summary CSV. The OCR runner prepares the PaddleOCR document-intake workflow and fine-tuning configuration for future evaluation on real scanned borrower documents.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Module</w:t>
            </w:r>
          </w:p>
        </w:tc>
        <w:tc>
          <w:tcPr>
            <w:tcW w:type="dxa" w:w="4896"/>
            <w:vAlign w:val="center"/>
          </w:tcPr>
          <w:p>
            <w:r>
              <w:rPr>
                <w:b/>
              </w:rPr>
              <w:t>Responsibility</w:t>
            </w:r>
          </w:p>
        </w:tc>
      </w:tr>
      <w:tr>
        <w:tc>
          <w:tcPr>
            <w:tcW w:type="dxa" w:w="4896"/>
          </w:tcPr>
          <w:p>
            <w:r>
              <w:t>credit_scoring.data</w:t>
            </w:r>
          </w:p>
        </w:tc>
        <w:tc>
          <w:tcPr>
            <w:tcW w:type="dxa" w:w="4896"/>
          </w:tcPr>
          <w:p>
            <w:r>
              <w:t>Dataset loading, sampling, profile export, class balance summary.</w:t>
            </w:r>
          </w:p>
        </w:tc>
      </w:tr>
      <w:tr>
        <w:tc>
          <w:tcPr>
            <w:tcW w:type="dxa" w:w="4896"/>
          </w:tcPr>
          <w:p>
            <w:r>
              <w:t>credit_scoring.preprocessing</w:t>
            </w:r>
          </w:p>
        </w:tc>
        <w:tc>
          <w:tcPr>
            <w:tcW w:type="dxa" w:w="4896"/>
          </w:tcPr>
          <w:p>
            <w:r>
              <w:t>Imputation, encoding, scaling, and oversampling utilities.</w:t>
            </w:r>
          </w:p>
        </w:tc>
      </w:tr>
      <w:tr>
        <w:tc>
          <w:tcPr>
            <w:tcW w:type="dxa" w:w="4896"/>
          </w:tcPr>
          <w:p>
            <w:r>
              <w:t>credit_scoring.models</w:t>
            </w:r>
          </w:p>
        </w:tc>
        <w:tc>
          <w:tcPr>
            <w:tcW w:type="dxa" w:w="4896"/>
          </w:tcPr>
          <w:p>
            <w:r>
              <w:t>Model factory for LR, RF, GB, and MLP configurations.</w:t>
            </w:r>
          </w:p>
        </w:tc>
      </w:tr>
      <w:tr>
        <w:tc>
          <w:tcPr>
            <w:tcW w:type="dxa" w:w="4896"/>
          </w:tcPr>
          <w:p>
            <w:r>
              <w:t>credit_scoring.evaluation</w:t>
            </w:r>
          </w:p>
        </w:tc>
        <w:tc>
          <w:tcPr>
            <w:tcW w:type="dxa" w:w="4896"/>
          </w:tcPr>
          <w:p>
            <w:r>
              <w:t>Metrics, curves, confusion matrix, and feature importance.</w:t>
            </w:r>
          </w:p>
        </w:tc>
      </w:tr>
      <w:tr>
        <w:tc>
          <w:tcPr>
            <w:tcW w:type="dxa" w:w="4896"/>
          </w:tcPr>
          <w:p>
            <w:r>
              <w:t>document_ocr</w:t>
            </w:r>
          </w:p>
        </w:tc>
        <w:tc>
          <w:tcPr>
            <w:tcW w:type="dxa" w:w="4896"/>
          </w:tcPr>
          <w:p>
            <w:r>
              <w:t>PaddleOCR workflow orchestration for document recognition and field extraction.</w:t>
            </w:r>
          </w:p>
        </w:tc>
      </w:tr>
    </w:tbl>
    <w:p>
      <w:pPr>
        <w:pStyle w:val="Heading1"/>
      </w:pPr>
      <w:r>
        <w:rPr>
          <w:rFonts w:ascii="Times New Roman" w:hAnsi="Times New Roman"/>
          <w:color w:val="000000"/>
        </w:rPr>
        <w:t>5. MAJOR FINDINGS / OUTCOMES / RESULTS</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vAlign w:val="center"/>
          </w:tcPr>
          <w:p>
            <w:r>
              <w:rPr>
                <w:b/>
              </w:rPr>
              <w:t>Dataset</w:t>
            </w:r>
          </w:p>
        </w:tc>
        <w:tc>
          <w:tcPr>
            <w:tcW w:type="dxa" w:w="1399"/>
            <w:vAlign w:val="center"/>
          </w:tcPr>
          <w:p>
            <w:r>
              <w:rPr>
                <w:b/>
              </w:rPr>
              <w:t>Best Model</w:t>
            </w:r>
          </w:p>
        </w:tc>
        <w:tc>
          <w:tcPr>
            <w:tcW w:type="dxa" w:w="1399"/>
            <w:vAlign w:val="center"/>
          </w:tcPr>
          <w:p>
            <w:r>
              <w:rPr>
                <w:b/>
              </w:rPr>
              <w:t>Strategy</w:t>
            </w:r>
          </w:p>
        </w:tc>
        <w:tc>
          <w:tcPr>
            <w:tcW w:type="dxa" w:w="1399"/>
            <w:vAlign w:val="center"/>
          </w:tcPr>
          <w:p>
            <w:r>
              <w:rPr>
                <w:b/>
              </w:rPr>
              <w:t>ROC-AUC</w:t>
            </w:r>
          </w:p>
        </w:tc>
        <w:tc>
          <w:tcPr>
            <w:tcW w:type="dxa" w:w="1399"/>
            <w:vAlign w:val="center"/>
          </w:tcPr>
          <w:p>
            <w:r>
              <w:rPr>
                <w:b/>
              </w:rPr>
              <w:t>PR-AUC</w:t>
            </w:r>
          </w:p>
        </w:tc>
        <w:tc>
          <w:tcPr>
            <w:tcW w:type="dxa" w:w="1399"/>
            <w:vAlign w:val="center"/>
          </w:tcPr>
          <w:p>
            <w:r>
              <w:rPr>
                <w:b/>
              </w:rPr>
              <w:t>Recall</w:t>
            </w:r>
          </w:p>
        </w:tc>
        <w:tc>
          <w:tcPr>
            <w:tcW w:type="dxa" w:w="1399"/>
            <w:vAlign w:val="center"/>
          </w:tcPr>
          <w:p>
            <w:r>
              <w:rPr>
                <w:b/>
              </w:rPr>
              <w:t>F1</w:t>
            </w:r>
          </w:p>
        </w:tc>
      </w:tr>
      <w:tr>
        <w:tc>
          <w:tcPr>
            <w:tcW w:type="dxa" w:w="1399"/>
          </w:tcPr>
          <w:p>
            <w:r>
              <w:t>German Credit</w:t>
            </w:r>
          </w:p>
        </w:tc>
        <w:tc>
          <w:tcPr>
            <w:tcW w:type="dxa" w:w="1399"/>
          </w:tcPr>
          <w:p>
            <w:r>
              <w:t>Logistic Regression</w:t>
            </w:r>
          </w:p>
        </w:tc>
        <w:tc>
          <w:tcPr>
            <w:tcW w:type="dxa" w:w="1399"/>
          </w:tcPr>
          <w:p>
            <w:r>
              <w:t>class_weight</w:t>
            </w:r>
          </w:p>
        </w:tc>
        <w:tc>
          <w:tcPr>
            <w:tcW w:type="dxa" w:w="1399"/>
          </w:tcPr>
          <w:p>
            <w:r>
              <w:t>0.831</w:t>
            </w:r>
          </w:p>
        </w:tc>
        <w:tc>
          <w:tcPr>
            <w:tcW w:type="dxa" w:w="1399"/>
          </w:tcPr>
          <w:p>
            <w:r>
              <w:t>0.713</w:t>
            </w:r>
          </w:p>
        </w:tc>
        <w:tc>
          <w:tcPr>
            <w:tcW w:type="dxa" w:w="1399"/>
          </w:tcPr>
          <w:p>
            <w:r>
              <w:t>0.778</w:t>
            </w:r>
          </w:p>
        </w:tc>
        <w:tc>
          <w:tcPr>
            <w:tcW w:type="dxa" w:w="1399"/>
          </w:tcPr>
          <w:p>
            <w:r>
              <w:t>0.673</w:t>
            </w:r>
          </w:p>
        </w:tc>
      </w:tr>
      <w:tr>
        <w:tc>
          <w:tcPr>
            <w:tcW w:type="dxa" w:w="1399"/>
          </w:tcPr>
          <w:p>
            <w:r>
              <w:t>Lending Club Sample</w:t>
            </w:r>
          </w:p>
        </w:tc>
        <w:tc>
          <w:tcPr>
            <w:tcW w:type="dxa" w:w="1399"/>
          </w:tcPr>
          <w:p>
            <w:r>
              <w:t>Logistic Regression</w:t>
            </w:r>
          </w:p>
        </w:tc>
        <w:tc>
          <w:tcPr>
            <w:tcW w:type="dxa" w:w="1399"/>
          </w:tcPr>
          <w:p>
            <w:r>
              <w:t>class_weight</w:t>
            </w:r>
          </w:p>
        </w:tc>
        <w:tc>
          <w:tcPr>
            <w:tcW w:type="dxa" w:w="1399"/>
          </w:tcPr>
          <w:p>
            <w:r>
              <w:t>0.722</w:t>
            </w:r>
          </w:p>
        </w:tc>
        <w:tc>
          <w:tcPr>
            <w:tcW w:type="dxa" w:w="1399"/>
          </w:tcPr>
          <w:p>
            <w:r>
              <w:t>0.360</w:t>
            </w:r>
          </w:p>
        </w:tc>
        <w:tc>
          <w:tcPr>
            <w:tcW w:type="dxa" w:w="1399"/>
          </w:tcPr>
          <w:p>
            <w:r>
              <w:t>0.682</w:t>
            </w:r>
          </w:p>
        </w:tc>
        <w:tc>
          <w:tcPr>
            <w:tcW w:type="dxa" w:w="1399"/>
          </w:tcPr>
          <w:p>
            <w:r>
              <w:t>0.430</w:t>
            </w:r>
          </w:p>
        </w:tc>
      </w:tr>
    </w:tbl>
    <w:p>
      <w:r>
        <w:drawing>
          <wp:inline xmlns:a="http://schemas.openxmlformats.org/drawingml/2006/main" xmlns:pic="http://schemas.openxmlformats.org/drawingml/2006/picture">
            <wp:extent cx="5943600" cy="2943497"/>
            <wp:docPr id="2" name="Picture 2"/>
            <wp:cNvGraphicFramePr>
              <a:graphicFrameLocks noChangeAspect="1"/>
            </wp:cNvGraphicFramePr>
            <a:graphic>
              <a:graphicData uri="http://schemas.openxmlformats.org/drawingml/2006/picture">
                <pic:pic>
                  <pic:nvPicPr>
                    <pic:cNvPr id="0" name="credit_benchmark_comparison.png"/>
                    <pic:cNvPicPr/>
                  </pic:nvPicPr>
                  <pic:blipFill>
                    <a:blip r:embed="rId15"/>
                    <a:stretch>
                      <a:fillRect/>
                    </a:stretch>
                  </pic:blipFill>
                  <pic:spPr>
                    <a:xfrm>
                      <a:off x="0" y="0"/>
                      <a:ext cx="5943600" cy="2943497"/>
                    </a:xfrm>
                    <a:prstGeom prst="rect"/>
                  </pic:spPr>
                </pic:pic>
              </a:graphicData>
            </a:graphic>
          </wp:inline>
        </w:drawing>
      </w:r>
    </w:p>
    <w:p>
      <w:pPr>
        <w:jc w:val="center"/>
      </w:pPr>
      <w:r>
        <w:rPr>
          <w:i/>
        </w:rPr>
        <w:t>Figure 2: Credit-scoring benchmark comparison by model and dataset.</w:t>
      </w:r>
    </w:p>
    <w:p>
      <w:pPr>
        <w:jc w:val="both"/>
      </w:pPr>
      <w:r>
        <w:t>The results show that Logistic Regression with class weighting is a strong and transparent baseline for both public datasets. This is valuable for evaluation because the model balances predictive quality with auditability, and the saved feature-importance artifacts help explain the decision surface.</w:t>
      </w:r>
    </w:p>
    <w:p>
      <w:r>
        <w:drawing>
          <wp:inline xmlns:a="http://schemas.openxmlformats.org/drawingml/2006/main" xmlns:pic="http://schemas.openxmlformats.org/drawingml/2006/picture">
            <wp:extent cx="4846320" cy="3230880"/>
            <wp:docPr id="3" name="Picture 3"/>
            <wp:cNvGraphicFramePr>
              <a:graphicFrameLocks noChangeAspect="1"/>
            </wp:cNvGraphicFramePr>
            <a:graphic>
              <a:graphicData uri="http://schemas.openxmlformats.org/drawingml/2006/picture">
                <pic:pic>
                  <pic:nvPicPr>
                    <pic:cNvPr id="0" name="german-credit_roc_curve.png"/>
                    <pic:cNvPicPr/>
                  </pic:nvPicPr>
                  <pic:blipFill>
                    <a:blip r:embed="rId16"/>
                    <a:stretch>
                      <a:fillRect/>
                    </a:stretch>
                  </pic:blipFill>
                  <pic:spPr>
                    <a:xfrm>
                      <a:off x="0" y="0"/>
                      <a:ext cx="4846320" cy="3230880"/>
                    </a:xfrm>
                    <a:prstGeom prst="rect"/>
                  </pic:spPr>
                </pic:pic>
              </a:graphicData>
            </a:graphic>
          </wp:inline>
        </w:drawing>
      </w:r>
    </w:p>
    <w:p>
      <w:pPr>
        <w:jc w:val="center"/>
      </w:pPr>
      <w:r>
        <w:rPr>
          <w:i/>
        </w:rPr>
        <w:t>Figure 3: ROC curve for the best German Credit run.</w:t>
      </w:r>
    </w:p>
    <w:p>
      <w:r>
        <w:drawing>
          <wp:inline xmlns:a="http://schemas.openxmlformats.org/drawingml/2006/main" xmlns:pic="http://schemas.openxmlformats.org/drawingml/2006/picture">
            <wp:extent cx="4846320" cy="3230880"/>
            <wp:docPr id="4" name="Picture 4"/>
            <wp:cNvGraphicFramePr>
              <a:graphicFrameLocks noChangeAspect="1"/>
            </wp:cNvGraphicFramePr>
            <a:graphic>
              <a:graphicData uri="http://schemas.openxmlformats.org/drawingml/2006/picture">
                <pic:pic>
                  <pic:nvPicPr>
                    <pic:cNvPr id="0" name="lending-club-sample_roc_curve.png"/>
                    <pic:cNvPicPr/>
                  </pic:nvPicPr>
                  <pic:blipFill>
                    <a:blip r:embed="rId17"/>
                    <a:stretch>
                      <a:fillRect/>
                    </a:stretch>
                  </pic:blipFill>
                  <pic:spPr>
                    <a:xfrm>
                      <a:off x="0" y="0"/>
                      <a:ext cx="4846320" cy="3230880"/>
                    </a:xfrm>
                    <a:prstGeom prst="rect"/>
                  </pic:spPr>
                </pic:pic>
              </a:graphicData>
            </a:graphic>
          </wp:inline>
        </w:drawing>
      </w:r>
    </w:p>
    <w:p>
      <w:pPr>
        <w:jc w:val="center"/>
      </w:pPr>
      <w:r>
        <w:rPr>
          <w:i/>
        </w:rPr>
        <w:t>Figure 4: ROC curve for the best Lending Club sample run.</w:t>
      </w:r>
    </w:p>
    <w:p>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german-credit_feature_importance.png"/>
                    <pic:cNvPicPr/>
                  </pic:nvPicPr>
                  <pic:blipFill>
                    <a:blip r:embed="rId18"/>
                    <a:stretch>
                      <a:fillRect/>
                    </a:stretch>
                  </pic:blipFill>
                  <pic:spPr>
                    <a:xfrm>
                      <a:off x="0" y="0"/>
                      <a:ext cx="5120640" cy="3200400"/>
                    </a:xfrm>
                    <a:prstGeom prst="rect"/>
                  </pic:spPr>
                </pic:pic>
              </a:graphicData>
            </a:graphic>
          </wp:inline>
        </w:drawing>
      </w:r>
    </w:p>
    <w:p>
      <w:pPr>
        <w:jc w:val="center"/>
      </w:pPr>
      <w:r>
        <w:rPr>
          <w:i/>
        </w:rPr>
        <w:t>Figure 5: Top feature-importance output for the best German Credit run.</w:t>
      </w:r>
    </w:p>
    <w:p>
      <w:pPr>
        <w:pStyle w:val="Heading2"/>
      </w:pPr>
      <w:r>
        <w:rPr>
          <w:rFonts w:ascii="Times New Roman" w:hAnsi="Times New Roman"/>
          <w:color w:val="000000"/>
        </w:rPr>
        <w:t>5.1 OCR Module Implementation</w:t>
      </w:r>
    </w:p>
    <w:p>
      <w:r>
        <w:drawing>
          <wp:inline xmlns:a="http://schemas.openxmlformats.org/drawingml/2006/main" xmlns:pic="http://schemas.openxmlformats.org/drawingml/2006/picture">
            <wp:extent cx="5669280" cy="2312104"/>
            <wp:docPr id="6" name="Picture 6"/>
            <wp:cNvGraphicFramePr>
              <a:graphicFrameLocks noChangeAspect="1"/>
            </wp:cNvGraphicFramePr>
            <a:graphic>
              <a:graphicData uri="http://schemas.openxmlformats.org/drawingml/2006/picture">
                <pic:pic>
                  <pic:nvPicPr>
                    <pic:cNvPr id="0" name="ocr_workflow_overview.png"/>
                    <pic:cNvPicPr/>
                  </pic:nvPicPr>
                  <pic:blipFill>
                    <a:blip r:embed="rId19"/>
                    <a:stretch>
                      <a:fillRect/>
                    </a:stretch>
                  </pic:blipFill>
                  <pic:spPr>
                    <a:xfrm>
                      <a:off x="0" y="0"/>
                      <a:ext cx="5669280" cy="2312104"/>
                    </a:xfrm>
                    <a:prstGeom prst="rect"/>
                  </pic:spPr>
                </pic:pic>
              </a:graphicData>
            </a:graphic>
          </wp:inline>
        </w:drawing>
      </w:r>
    </w:p>
    <w:p>
      <w:pPr>
        <w:jc w:val="center"/>
      </w:pPr>
      <w:r>
        <w:rPr>
          <w:i/>
        </w:rPr>
        <w:t>Figure 6: PaddleOCR workflow overview for borrower-document intake.</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Workflow Stage</w:t>
            </w:r>
          </w:p>
        </w:tc>
        <w:tc>
          <w:tcPr>
            <w:tcW w:type="dxa" w:w="4896"/>
            <w:vAlign w:val="center"/>
          </w:tcPr>
          <w:p>
            <w:r>
              <w:rPr>
                <w:b/>
              </w:rPr>
              <w:t>Implementation Purpose</w:t>
            </w:r>
          </w:p>
        </w:tc>
      </w:tr>
      <w:tr>
        <w:tc>
          <w:tcPr>
            <w:tcW w:type="dxa" w:w="4896"/>
          </w:tcPr>
          <w:p>
            <w:r>
              <w:t>Document Upload</w:t>
            </w:r>
          </w:p>
        </w:tc>
        <w:tc>
          <w:tcPr>
            <w:tcW w:type="dxa" w:w="4896"/>
          </w:tcPr>
          <w:p>
            <w:r>
              <w:t>Borrower documents enter the intake pipeline as scanned images or form captures.</w:t>
            </w:r>
          </w:p>
        </w:tc>
      </w:tr>
      <w:tr>
        <w:tc>
          <w:tcPr>
            <w:tcW w:type="dxa" w:w="4896"/>
          </w:tcPr>
          <w:p>
            <w:r>
              <w:t>Preprocessing</w:t>
            </w:r>
          </w:p>
        </w:tc>
        <w:tc>
          <w:tcPr>
            <w:tcW w:type="dxa" w:w="4896"/>
          </w:tcPr>
          <w:p>
            <w:r>
              <w:t>Images are normalized, resized, and prepared for text recognition.</w:t>
            </w:r>
          </w:p>
        </w:tc>
      </w:tr>
      <w:tr>
        <w:tc>
          <w:tcPr>
            <w:tcW w:type="dxa" w:w="4896"/>
          </w:tcPr>
          <w:p>
            <w:r>
              <w:t>PaddleOCR Recognition</w:t>
            </w:r>
          </w:p>
        </w:tc>
        <w:tc>
          <w:tcPr>
            <w:tcW w:type="dxa" w:w="4896"/>
          </w:tcPr>
          <w:p>
            <w:r>
              <w:t>The OCR module extracts text from finance-oriented document regions.</w:t>
            </w:r>
          </w:p>
        </w:tc>
      </w:tr>
      <w:tr>
        <w:tc>
          <w:tcPr>
            <w:tcW w:type="dxa" w:w="4896"/>
          </w:tcPr>
          <w:p>
            <w:r>
              <w:t>Field Extraction</w:t>
            </w:r>
          </w:p>
        </w:tc>
        <w:tc>
          <w:tcPr>
            <w:tcW w:type="dxa" w:w="4896"/>
          </w:tcPr>
          <w:p>
            <w:r>
              <w:t>Recognized text is mapped to loan fields such as applicant details and income evidence.</w:t>
            </w:r>
          </w:p>
        </w:tc>
      </w:tr>
      <w:tr>
        <w:tc>
          <w:tcPr>
            <w:tcW w:type="dxa" w:w="4896"/>
          </w:tcPr>
          <w:p>
            <w:r>
              <w:t>Review Queue</w:t>
            </w:r>
          </w:p>
        </w:tc>
        <w:tc>
          <w:tcPr>
            <w:tcW w:type="dxa" w:w="4896"/>
          </w:tcPr>
          <w:p>
            <w:r>
              <w:t>Low-confidence fields can be routed for human review before credit assessment.</w:t>
            </w:r>
          </w:p>
        </w:tc>
      </w:tr>
    </w:tbl>
    <w:p>
      <w:pPr>
        <w:jc w:val="both"/>
      </w:pPr>
      <w:r>
        <w:t>The OCR module is included as an implementation-ready document-intake workflow. Its next evaluation step is to compare recognized fields with manually verified ground-truth labels from real scanned borrower documents.</w:t>
      </w:r>
    </w:p>
    <w:p>
      <w:pPr>
        <w:pStyle w:val="Heading2"/>
      </w:pPr>
      <w:r>
        <w:rPr>
          <w:rFonts w:ascii="Times New Roman" w:hAnsi="Times New Roman"/>
          <w:color w:val="000000"/>
        </w:rPr>
        <w:t>5.2 Final Evaluation Readiness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Evaluation Area</w:t>
            </w:r>
          </w:p>
        </w:tc>
        <w:tc>
          <w:tcPr>
            <w:tcW w:type="dxa" w:w="4896"/>
            <w:vAlign w:val="center"/>
          </w:tcPr>
          <w:p>
            <w:r>
              <w:rPr>
                <w:b/>
              </w:rPr>
              <w:t>Prepared Evidence</w:t>
            </w:r>
          </w:p>
        </w:tc>
      </w:tr>
      <w:tr>
        <w:tc>
          <w:tcPr>
            <w:tcW w:type="dxa" w:w="4896"/>
          </w:tcPr>
          <w:p>
            <w:r>
              <w:t>Submission / Filing Status</w:t>
            </w:r>
          </w:p>
        </w:tc>
        <w:tc>
          <w:tcPr>
            <w:tcW w:type="dxa" w:w="4896"/>
          </w:tcPr>
          <w:p>
            <w:r>
              <w:t>IPR proof folder created with copyright filing instructions and placeholder.</w:t>
            </w:r>
          </w:p>
        </w:tc>
      </w:tr>
      <w:tr>
        <w:tc>
          <w:tcPr>
            <w:tcW w:type="dxa" w:w="4896"/>
          </w:tcPr>
          <w:p>
            <w:r>
              <w:t>Target Platform Compliance</w:t>
            </w:r>
          </w:p>
        </w:tc>
        <w:tc>
          <w:tcPr>
            <w:tcW w:type="dxa" w:w="4896"/>
          </w:tcPr>
          <w:p>
            <w:r>
              <w:t>GitHub repository follows required folder structure and contains runnable code.</w:t>
            </w:r>
          </w:p>
        </w:tc>
      </w:tr>
      <w:tr>
        <w:tc>
          <w:tcPr>
            <w:tcW w:type="dxa" w:w="4896"/>
          </w:tcPr>
          <w:p>
            <w:r>
              <w:t>Revision and Documentation</w:t>
            </w:r>
          </w:p>
        </w:tc>
        <w:tc>
          <w:tcPr>
            <w:tcW w:type="dxa" w:w="4896"/>
          </w:tcPr>
          <w:p>
            <w:r>
              <w:t>Final report, PPT, README, figures, templates, and reproducible generator are included.</w:t>
            </w:r>
          </w:p>
        </w:tc>
      </w:tr>
      <w:tr>
        <w:tc>
          <w:tcPr>
            <w:tcW w:type="dxa" w:w="4896"/>
          </w:tcPr>
          <w:p>
            <w:r>
              <w:t>Supervisor Meetings</w:t>
            </w:r>
          </w:p>
        </w:tc>
        <w:tc>
          <w:tcPr>
            <w:tcW w:type="dxa" w:w="4896"/>
          </w:tcPr>
          <w:p>
            <w:r>
              <w:t>Progress updates and feedback handling are documented as part of the final package.</w:t>
            </w:r>
          </w:p>
        </w:tc>
      </w:tr>
    </w:tbl>
    <w:p>
      <w:pPr>
        <w:jc w:val="both"/>
      </w:pPr>
      <w:r>
        <w:t>The package has been organized around the final evaluation marking areas: filing readiness, GitHub platform compliance, documentation and revision handling, and supervisor-progress evidence. The README, report, presentation, source code, templates, and IPR placeholder are all included in the repository.</w:t>
      </w:r>
    </w:p>
    <w:p>
      <w:pPr>
        <w:pStyle w:val="Heading2"/>
      </w:pPr>
      <w:r>
        <w:rPr>
          <w:rFonts w:ascii="Times New Roman" w:hAnsi="Times New Roman"/>
          <w:color w:val="000000"/>
        </w:rPr>
        <w:t>5.3 Supervisor Meetings and Feedback Handling</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Progress Activity</w:t>
            </w:r>
          </w:p>
        </w:tc>
        <w:tc>
          <w:tcPr>
            <w:tcW w:type="dxa" w:w="4896"/>
            <w:vAlign w:val="center"/>
          </w:tcPr>
          <w:p>
            <w:r>
              <w:rPr>
                <w:b/>
              </w:rPr>
              <w:t>Evidence in Submission</w:t>
            </w:r>
          </w:p>
        </w:tc>
      </w:tr>
      <w:tr>
        <w:tc>
          <w:tcPr>
            <w:tcW w:type="dxa" w:w="4896"/>
          </w:tcPr>
          <w:p>
            <w:r>
              <w:t>Regular progress updates</w:t>
            </w:r>
          </w:p>
        </w:tc>
        <w:tc>
          <w:tcPr>
            <w:tcW w:type="dxa" w:w="4896"/>
          </w:tcPr>
          <w:p>
            <w:r>
              <w:t>Final report records project scope, implementation status, and reproducible benchmark outputs.</w:t>
            </w:r>
          </w:p>
        </w:tc>
      </w:tr>
      <w:tr>
        <w:tc>
          <w:tcPr>
            <w:tcW w:type="dxa" w:w="4896"/>
          </w:tcPr>
          <w:p>
            <w:r>
              <w:t>Supervisor feedback handling</w:t>
            </w:r>
          </w:p>
        </w:tc>
        <w:tc>
          <w:tcPr>
            <w:tcW w:type="dxa" w:w="4896"/>
          </w:tcPr>
          <w:p>
            <w:r>
              <w:t>Repository structure and final deliverables were revised to match evaluation instructions.</w:t>
            </w:r>
          </w:p>
        </w:tc>
      </w:tr>
      <w:tr>
        <w:tc>
          <w:tcPr>
            <w:tcW w:type="dxa" w:w="4896"/>
          </w:tcPr>
          <w:p>
            <w:r>
              <w:t>Documentation updates</w:t>
            </w:r>
          </w:p>
        </w:tc>
        <w:tc>
          <w:tcPr>
            <w:tcW w:type="dxa" w:w="4896"/>
          </w:tcPr>
          <w:p>
            <w:r>
              <w:t>README and generated report/PPT describe folder structure, run commands, and submission status.</w:t>
            </w:r>
          </w:p>
        </w:tc>
      </w:tr>
      <w:tr>
        <w:tc>
          <w:tcPr>
            <w:tcW w:type="dxa" w:w="4896"/>
          </w:tcPr>
          <w:p>
            <w:r>
              <w:t>External readiness</w:t>
            </w:r>
          </w:p>
        </w:tc>
        <w:tc>
          <w:tcPr>
            <w:tcW w:type="dxa" w:w="4896"/>
          </w:tcPr>
          <w:p>
            <w:r>
              <w:t>GitHub repository contains source code, report, PPT, IPR placeholder, and evaluation artifacts.</w:t>
            </w:r>
          </w:p>
        </w:tc>
      </w:tr>
    </w:tbl>
    <w:p>
      <w:pPr>
        <w:pStyle w:val="Heading1"/>
      </w:pPr>
      <w:r>
        <w:rPr>
          <w:rFonts w:ascii="Times New Roman" w:hAnsi="Times New Roman"/>
          <w:color w:val="000000"/>
        </w:rPr>
        <w:t>6. CONCLUSION AND FUTURE SCOPE</w:t>
      </w:r>
    </w:p>
    <w:p>
      <w:pPr>
        <w:jc w:val="both"/>
      </w:pPr>
      <w:r>
        <w:t>The project delivers a reproducible AI-based loan-risk assessment package with traceable benchmark results, explainability artifacts, and a document-OCR extension. The final GitHub structure supports external evaluation by separating IPR proof, report/PPT material, source code, and README documentation.</w:t>
      </w:r>
    </w:p>
    <w:p>
      <w:pPr>
        <w:jc w:val="both"/>
      </w:pPr>
      <w:r>
        <w:t>Future improvements include larger-scale Lending Club experiments, calibration analysis, SHAP-based explanations, stronger OCR evaluation on scanned financial forms, and deployment of the best model through an API or lightweight dashboard.</w:t>
      </w:r>
    </w:p>
    <w:p>
      <w:pPr>
        <w:pStyle w:val="Heading1"/>
      </w:pPr>
      <w:r>
        <w:rPr>
          <w:rFonts w:ascii="Times New Roman" w:hAnsi="Times New Roman"/>
          <w:color w:val="000000"/>
        </w:rPr>
        <w:t>REFERENCES</w:t>
      </w:r>
    </w:p>
    <w:p>
      <w:r>
        <w:t>1. UCI Machine Learning Repository: Statlog German Credit Data.</w:t>
      </w:r>
    </w:p>
    <w:p>
      <w:r>
        <w:t>2. Lending Club public loan data sample used for educational model benchmarking.</w:t>
      </w:r>
    </w:p>
    <w:p>
      <w:r>
        <w:t>3. PaddleOCR: PaddlePaddle OCR toolkit and pretrained recognition models.</w:t>
      </w:r>
    </w:p>
    <w:p>
      <w:r>
        <w:t>4. scikit-learn documentation for model training, metrics, and preprocessing.</w:t>
      </w:r>
    </w:p>
    <w:p>
      <w:r>
        <w:t>5. Responsible AI and explainable credit scoring literature on interpretability and model governance.</w:t>
      </w:r>
    </w:p>
    <w:p>
      <w:pPr>
        <w:pStyle w:val="Heading1"/>
      </w:pPr>
      <w:r>
        <w:rPr>
          <w:rFonts w:ascii="Times New Roman" w:hAnsi="Times New Roman"/>
          <w:color w:val="000000"/>
        </w:rPr>
        <w:t>APPENDICES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Repository Folder</w:t>
            </w:r>
          </w:p>
        </w:tc>
        <w:tc>
          <w:tcPr>
            <w:tcW w:type="dxa" w:w="4896"/>
            <w:vAlign w:val="center"/>
          </w:tcPr>
          <w:p>
            <w:r>
              <w:rPr>
                <w:b/>
              </w:rPr>
              <w:t>Contents</w:t>
            </w:r>
          </w:p>
        </w:tc>
      </w:tr>
      <w:tr>
        <w:tc>
          <w:tcPr>
            <w:tcW w:type="dxa" w:w="4896"/>
          </w:tcPr>
          <w:p>
            <w:r>
              <w:t>IPR Submission Proof</w:t>
            </w:r>
          </w:p>
        </w:tc>
        <w:tc>
          <w:tcPr>
            <w:tcW w:type="dxa" w:w="4896"/>
          </w:tcPr>
          <w:p>
            <w:r>
              <w:t>Placeholder and future copyright submission proof.</w:t>
            </w:r>
          </w:p>
        </w:tc>
      </w:tr>
      <w:tr>
        <w:tc>
          <w:tcPr>
            <w:tcW w:type="dxa" w:w="4896"/>
          </w:tcPr>
          <w:p>
            <w:r>
              <w:t>Report and PPT</w:t>
            </w:r>
          </w:p>
        </w:tc>
        <w:tc>
          <w:tcPr>
            <w:tcW w:type="dxa" w:w="4896"/>
          </w:tcPr>
          <w:p>
            <w:r>
              <w:t>Final report, presentation, templates, and generated figures.</w:t>
            </w:r>
          </w:p>
        </w:tc>
      </w:tr>
      <w:tr>
        <w:tc>
          <w:tcPr>
            <w:tcW w:type="dxa" w:w="4896"/>
          </w:tcPr>
          <w:p>
            <w:r>
              <w:t>Source code</w:t>
            </w:r>
          </w:p>
        </w:tc>
        <w:tc>
          <w:tcPr>
            <w:tcW w:type="dxa" w:w="4896"/>
          </w:tcPr>
          <w:p>
            <w:r>
              <w:t>Runnable Python code, configs, tests, data samples, and artifacts.</w:t>
            </w:r>
          </w:p>
        </w:tc>
      </w:tr>
      <w:tr>
        <w:tc>
          <w:tcPr>
            <w:tcW w:type="dxa" w:w="4896"/>
          </w:tcPr>
          <w:p>
            <w:r>
              <w:t>README.md</w:t>
            </w:r>
          </w:p>
        </w:tc>
        <w:tc>
          <w:tcPr>
            <w:tcW w:type="dxa" w:w="4896"/>
          </w:tcPr>
          <w:p>
            <w:r>
              <w:t>Team details, status, run commands, and evaluation instructions.</w:t>
            </w:r>
          </w:p>
        </w:tc>
      </w:tr>
    </w:tbl>
    <w:sectPr w:rsidR="00E4645A">
      <w:pgSz w:w="12240" w:h="15840"/>
      <w:pgMar w:top="1080" w:right="1224" w:bottom="1080" w:left="1224"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48EF2C" w14:textId="77777777" w:rsidR="00A21B7D" w:rsidRDefault="00A21B7D">
      <w:pPr>
        <w:spacing w:line="240" w:lineRule="auto"/>
      </w:pPr>
      <w:r>
        <w:separator/>
      </w:r>
    </w:p>
  </w:endnote>
  <w:endnote w:type="continuationSeparator" w:id="0">
    <w:p w14:paraId="5387987B" w14:textId="77777777" w:rsidR="00A21B7D" w:rsidRDefault="00A21B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0D6541" w14:textId="77777777" w:rsidR="00A21B7D" w:rsidRDefault="00A21B7D">
      <w:pPr>
        <w:spacing w:line="240" w:lineRule="auto"/>
      </w:pPr>
      <w:r>
        <w:separator/>
      </w:r>
    </w:p>
  </w:footnote>
  <w:footnote w:type="continuationSeparator" w:id="0">
    <w:p w14:paraId="44738015" w14:textId="77777777" w:rsidR="00A21B7D" w:rsidRDefault="00A21B7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FA7172" w14:textId="77777777" w:rsidR="00ED26B1" w:rsidRDefault="00ED26B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4"/>
  </w:num>
  <w:num w:numId="2">
    <w:abstractNumId w:val="8"/>
  </w:num>
  <w:num w:numId="3">
    <w:abstractNumId w:val="11"/>
  </w:num>
  <w:num w:numId="4">
    <w:abstractNumId w:val="13"/>
  </w:num>
  <w:num w:numId="5">
    <w:abstractNumId w:val="3"/>
  </w:num>
  <w:num w:numId="6">
    <w:abstractNumId w:val="6"/>
  </w:num>
  <w:num w:numId="7">
    <w:abstractNumId w:val="5"/>
  </w:num>
  <w:num w:numId="8">
    <w:abstractNumId w:val="12"/>
  </w:num>
  <w:num w:numId="9">
    <w:abstractNumId w:val="1"/>
  </w:num>
  <w:num w:numId="10">
    <w:abstractNumId w:val="7"/>
  </w:num>
  <w:num w:numId="11">
    <w:abstractNumId w:val="9"/>
  </w:num>
  <w:num w:numId="12">
    <w:abstractNumId w:val="2"/>
  </w:num>
  <w:num w:numId="13">
    <w:abstractNumId w:val="0"/>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6B1"/>
    <w:rsid w:val="00041427"/>
    <w:rsid w:val="000755B0"/>
    <w:rsid w:val="000D18F0"/>
    <w:rsid w:val="000E4741"/>
    <w:rsid w:val="00131C58"/>
    <w:rsid w:val="001405C5"/>
    <w:rsid w:val="00147AB8"/>
    <w:rsid w:val="001E4DB2"/>
    <w:rsid w:val="001E76E7"/>
    <w:rsid w:val="00265C1E"/>
    <w:rsid w:val="00295D1D"/>
    <w:rsid w:val="00336B32"/>
    <w:rsid w:val="0043349A"/>
    <w:rsid w:val="00464AF9"/>
    <w:rsid w:val="00566715"/>
    <w:rsid w:val="00641561"/>
    <w:rsid w:val="006573A8"/>
    <w:rsid w:val="00663278"/>
    <w:rsid w:val="006675F6"/>
    <w:rsid w:val="006A331B"/>
    <w:rsid w:val="006A604B"/>
    <w:rsid w:val="006C337B"/>
    <w:rsid w:val="006E3DD5"/>
    <w:rsid w:val="00712C7F"/>
    <w:rsid w:val="00795233"/>
    <w:rsid w:val="007D6FFB"/>
    <w:rsid w:val="008013D2"/>
    <w:rsid w:val="00897530"/>
    <w:rsid w:val="008B28BD"/>
    <w:rsid w:val="009042D0"/>
    <w:rsid w:val="00982D41"/>
    <w:rsid w:val="00985E93"/>
    <w:rsid w:val="00A21B7D"/>
    <w:rsid w:val="00A338AF"/>
    <w:rsid w:val="00A56703"/>
    <w:rsid w:val="00A62A58"/>
    <w:rsid w:val="00AF667E"/>
    <w:rsid w:val="00AF69E5"/>
    <w:rsid w:val="00B23E0E"/>
    <w:rsid w:val="00B36DD0"/>
    <w:rsid w:val="00C060EA"/>
    <w:rsid w:val="00C156E2"/>
    <w:rsid w:val="00C237FB"/>
    <w:rsid w:val="00C7183E"/>
    <w:rsid w:val="00C871E7"/>
    <w:rsid w:val="00CD6014"/>
    <w:rsid w:val="00DA4034"/>
    <w:rsid w:val="00E4645A"/>
    <w:rsid w:val="00E54055"/>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pPr>
    <w:rPr>
      <w:rFonts w:ascii="Times New Roman" w:hAnsi="Times New Roman"/>
      <w:sz w:val="24"/>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isha</cp:lastModifiedBy>
  <cp:revision>27</cp:revision>
  <dcterms:created xsi:type="dcterms:W3CDTF">2024-02-26T09:18:00Z</dcterms:created>
  <dcterms:modified xsi:type="dcterms:W3CDTF">2026-04-28T05:26:00Z</dcterms:modified>
</cp:coreProperties>
</file>