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d2733"/>
          <w:sz w:val="40"/>
          <w:szCs w:val="40"/>
        </w:rPr>
        <w:t xml:space="preserve">STRATEGY MEMO</w:t>
      </w:r>
    </w:p>
    <w:p>
      <w:pPr>
        <w:pBdr>
          <w:bottom w:val="single" w:color="c1440e" w:sz="14" w:space="6"/>
        </w:pBdr>
        <w:spacing w:after="160"/>
      </w:pPr>
      <w:r>
        <w:rPr>
          <w:rFonts w:ascii="Arial" w:cs="Arial" w:eastAsia="Arial" w:hAnsi="Arial"/>
          <w:color w:val="5a6b7b"/>
          <w:sz w:val="22"/>
          <w:szCs w:val="22"/>
        </w:rPr>
        <w:t xml:space="preserve">Optimizing Delivery ETAs with Graph-Based Network Intelligence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7b"/>
                <w:sz w:val="18"/>
                <w:szCs w:val="18"/>
              </w:rPr>
              <w:t xml:space="preserve">TO: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Head of Network Operations</w:t>
            </w:r>
          </w:p>
        </w:tc>
      </w:tr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7b"/>
                <w:sz w:val="18"/>
                <w:szCs w:val="18"/>
              </w:rPr>
              <w:t xml:space="preserve">FROM: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Network Analytics — Graph Intelligence Team</w:t>
            </w:r>
          </w:p>
        </w:tc>
      </w:tr>
      <w:tr>
        <w:tc>
          <w:tcPr>
            <w:tcW w:type="dxa" w:w="150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7b"/>
                <w:sz w:val="18"/>
                <w:szCs w:val="18"/>
              </w:rPr>
              <w:t xml:space="preserve">RE:</w:t>
            </w:r>
          </w:p>
        </w:tc>
        <w:tc>
          <w:tcPr>
            <w:tcW w:type="dxa" w:w="7860"/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d2733"/>
                <w:sz w:val="18"/>
                <w:szCs w:val="18"/>
              </w:rPr>
              <w:t xml:space="preserve">Where delay concentrates, and the three moves that recover it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1440e" w:sz="12"/>
          <w:left w:val="single" w:color="c1440e" w:sz="12"/>
          <w:bottom w:val="single" w:color="c1440e" w:sz="12"/>
          <w:right w:val="single" w:color="c1440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1440e"/>
                <w:sz w:val="18"/>
                <w:szCs w:val="18"/>
              </w:rPr>
              <w:t xml:space="preserve">BOTTOM LINE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routing engine (OSRM) under-predicts delivery time by about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2× network-wide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actual legs run roughly double the estimate, so ETAs are wrong and capacity planning slips. The delay is not spread evenly: it concentrates in a handful of mega-hubs.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 five facilities account for 31% of all delay in the network, and the top three account for 24%.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We can (a) deploy a graph-based ETA model that is on-target </w:t>
            </w: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58% of the time vs 4% today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(b) by upgrading the top three hubs, cut late deliveries on their corridors by </w:t>
            </w: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~28%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recover an estimated </w:t>
            </w: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₹1.5 crore/year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revenue-at-risk.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The problem in one chart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Delhivery promises ETAs from OSRM, a routing engine that assumes open roads and shortest paths. Reality includes congestion, dwell at facilities, and consolidation. The result: across 26,000 trip-legs, actual time is a median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2.0× the OSRM estimate</w:t>
      </w:r>
      <w:r>
        <w:rPr>
          <w:rFonts w:ascii="Arial" w:cs="Arial" w:eastAsia="Arial" w:hAnsi="Arial"/>
          <w:sz w:val="20"/>
          <w:szCs w:val="20"/>
        </w:rPr>
        <w:t xml:space="preserve">, and 95% of legs run more than 20% over. This is not occasional noise — the estimate is structurally low, which is why downstream capacity planning keeps breaking.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fig5_osrm_miscalibration.png" descr="Figure 1 — Today's OSRM ETA is systematically ~2× too fast. The fix is not a tweak; it is a different model." title="Figure 1 — Today's OSRM ETA is systematically ~2× too fast. The fix is not a tweak; it is a different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7b"/>
          <w:sz w:val="16"/>
          <w:szCs w:val="16"/>
        </w:rPr>
        <w:t xml:space="preserve">Figure 1 — Today's OSRM ETA is systematically ~2× too fast. The fix is not a tweak; it is a different model.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Where the delay actually is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Treating the network as a graph (facilities as nodes, corridors as edges) lets us see that delay is highly concentrated. Of the network's total excess delay,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top 5 hubs carry 30.8% and the top 3 carry 24.3%</w:t>
      </w:r>
      <w:r>
        <w:rPr>
          <w:rFonts w:ascii="Arial" w:cs="Arial" w:eastAsia="Arial" w:hAnsi="Arial"/>
          <w:sz w:val="20"/>
          <w:szCs w:val="20"/>
        </w:rPr>
        <w:t xml:space="preserve">. These are the points where fixing one facility moves the whole network.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4305300"/>
            <wp:effectExtent t="0" r="0" b="0" l="0"/>
            <wp:docPr id="1" name="fig1_network_map.png" descr="Figure 2 — The delay map. Circle size = a hub's share of total network delay; red lines = the most delayed corridors. The Gurgaon⇄Bangalore trunk dominates." title="Figure 2 — The delay map. Circle size = a hub's share of total network delay; red lines = the most delayed corridors. The Gurgaon⇄Bangalore trunk domina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7b"/>
          <w:sz w:val="16"/>
          <w:szCs w:val="16"/>
        </w:rPr>
        <w:t xml:space="preserve">Figure 2 — The delay map. Circle size = a hub's share of total network delay; red lines = the most delayed corridors. The Gurgaon⇄Bangalore trunk dominates.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Top 5 bottleneck hubs — and what to do about each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150"/>
        <w:gridCol w:w="1300"/>
        <w:gridCol w:w="3050"/>
        <w:gridCol w:w="2860"/>
      </w:tblGrid>
      <w:tr>
        <w:trPr>
          <w:tblHeader/>
        </w:trP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d27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Bottleneck hub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d27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 of network delay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d27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is a chokepoint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d27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Recommended intervention</w:t>
            </w:r>
          </w:p>
        </w:tc>
      </w:tr>
      <w:t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2733"/>
                <w:sz w:val="17"/>
                <w:szCs w:val="17"/>
              </w:rPr>
              <w:t xml:space="preserve">1. Gurgaon (Bilaspur HB), Haryana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0"/>
                <w:szCs w:val="20"/>
              </w:rPr>
              <w:t xml:space="preserve">12.5%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Highest betweenness in the country (0.19); 49 outbound + 45 inbound corridors. The national gateway — almost every long-haul trunk routes through it.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Parallel sortation capacity + dedicated night-dispatch lanes to Bangalore, Kolkata, Hyderabad, Bhiwandi.</w:t>
            </w:r>
          </w:p>
        </w:tc>
      </w:tr>
      <w:t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2733"/>
                <w:sz w:val="17"/>
                <w:szCs w:val="17"/>
              </w:rPr>
              <w:t xml:space="preserve">2. Bangalore (Nelamangla H), Karnataka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0"/>
                <w:szCs w:val="20"/>
              </w:rPr>
              <w:t xml:space="preserve">6.3%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Southern anchor; 35 out / 36 in corridors. The Gurgaon⇄Bangalore trunk is the single worst lane in the network.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Add a parallel relay on the Gurgaon⇄Bangalore lane; balance inbound dock load.</w:t>
            </w:r>
          </w:p>
        </w:tc>
      </w:tr>
      <w:t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2733"/>
                <w:sz w:val="17"/>
                <w:szCs w:val="17"/>
              </w:rPr>
              <w:t xml:space="preserve">3. Bhiwandi (Mankoli HB), Maharashtra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0"/>
                <w:szCs w:val="20"/>
              </w:rPr>
              <w:t xml:space="preserve">5.5%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Mumbai gateway with high intrinsic delay (2.25× OSRM) — slow even for its volume, pointing to facility-side dwell.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1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Facility upgrade: dock automation + staffing to cut handling/dwell time.</w:t>
            </w:r>
          </w:p>
        </w:tc>
      </w:tr>
      <w:t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2733"/>
                <w:sz w:val="17"/>
                <w:szCs w:val="17"/>
              </w:rPr>
              <w:t xml:space="preserve">4. Kolkata (Dankuni HB), West Bengal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0"/>
                <w:szCs w:val="20"/>
              </w:rPr>
              <w:t xml:space="preserve">3.7%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Eastern gateway and the worst delay ratio of the top hubs (2.59× OSRM).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ef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Facility upgrade + congestion-aware inbound scheduling.</w:t>
            </w:r>
          </w:p>
        </w:tc>
      </w:tr>
      <w:tr>
        <w:tc>
          <w:tcPr>
            <w:tcW w:type="dxa" w:w="21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2733"/>
                <w:sz w:val="17"/>
                <w:szCs w:val="17"/>
              </w:rPr>
              <w:t xml:space="preserve">5. Hyderabad (Shamshabad H), Telangana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440e"/>
                <w:sz w:val="20"/>
                <w:szCs w:val="20"/>
              </w:rPr>
              <w:t xml:space="preserve">2.8%</w:t>
            </w:r>
          </w:p>
        </w:tc>
        <w:tc>
          <w:tcPr>
            <w:tcW w:type="dxa" w:w="3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Central-south chokepoint (betweenness 0.11) linking north and south flows.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6"/>
                <w:szCs w:val="16"/>
              </w:rPr>
              <w:t xml:space="preserve">Targeted throughput upgrade; monitor as volumes grow.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fig2_bottleneck_hubs.png" descr="Figure 3 — Hub ranking by share of total network delay (top three in orange)." title="Figure 3 — Hub ranking by share of total network delay (top three in orang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7b"/>
          <w:sz w:val="16"/>
          <w:szCs w:val="16"/>
        </w:rPr>
        <w:t xml:space="preserve">Figure 3 — Hub ranking by share of total network delay (top three in orange).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The corridors bleeding the most time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Three trunk lanes alone lose enormous time versus estimate and should be the first targets for parallel routing / relay points: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Gurgaon ⇄ Bangalore</w:t>
      </w:r>
      <w:r>
        <w:rPr>
          <w:rFonts w:ascii="Arial" w:cs="Arial" w:eastAsia="Arial" w:hAnsi="Arial"/>
          <w:sz w:val="20"/>
          <w:szCs w:val="20"/>
        </w:rPr>
        <w:t xml:space="preserve"> — ~2,866 min actual vs 1,548 OSRM one way; the two directions together lose ~145,000 excess minutes in just three weeks. This single lane is the clearest case for a parallel relay.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Gurgaon → Kolkata</w:t>
      </w:r>
      <w:r>
        <w:rPr>
          <w:rFonts w:ascii="Arial" w:cs="Arial" w:eastAsia="Arial" w:hAnsi="Arial"/>
          <w:sz w:val="20"/>
          <w:szCs w:val="20"/>
        </w:rPr>
        <w:t xml:space="preserve"> — 2.03× OSRM, ~55,600 excess minutes. Pair facility scheduling at Kolkata with a dedicated dispatch slot.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Guwahati → Delhi &amp; Gurgaon → Hyderabad / Bhiwandi</w:t>
      </w:r>
      <w:r>
        <w:rPr>
          <w:rFonts w:ascii="Arial" w:cs="Arial" w:eastAsia="Arial" w:hAnsi="Arial"/>
          <w:sz w:val="20"/>
          <w:szCs w:val="20"/>
        </w:rPr>
        <w:t xml:space="preserve"> — long, high-ratio lanes (2.1–2.5×) where reliability, not distance, is the issue.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Route type: stop deciding FTL vs Carting by habit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Route-type choice today does not account for a facility's position in the network. Our framework makes the trade-off explicit: full-truck (FTL) runs measurably more reliably (1.92× vs 2.15× OSRM) and its time advantage grows with distance, while Carting is cheaper on short feeders. The data-backed rule: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Long-haul (&gt;400 km): default to FTL</w:t>
      </w:r>
      <w:r>
        <w:rPr>
          <w:rFonts w:ascii="Arial" w:cs="Arial" w:eastAsia="Arial" w:hAnsi="Arial"/>
          <w:sz w:val="20"/>
          <w:szCs w:val="20"/>
        </w:rPr>
        <w:t xml:space="preserve"> — it is recommended on 100% of these lanes and is actually cheaper per leg once the truck is full, while saving 3–6 hours.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 feeders (&lt;150 km): default to Carting</w:t>
      </w:r>
      <w:r>
        <w:rPr>
          <w:rFonts w:ascii="Arial" w:cs="Arial" w:eastAsia="Arial" w:hAnsi="Arial"/>
          <w:sz w:val="20"/>
          <w:szCs w:val="20"/>
        </w:rPr>
        <w:t xml:space="preserve"> — the FTL premium is not justified by the small time saving.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150–400 km: decide by graph position</w:t>
      </w:r>
      <w:r>
        <w:rPr>
          <w:rFonts w:ascii="Arial" w:cs="Arial" w:eastAsia="Arial" w:hAnsi="Arial"/>
          <w:sz w:val="20"/>
          <w:szCs w:val="20"/>
        </w:rPr>
        <w:t xml:space="preserve"> — shift to FTL when the source is a central hub feeding an SLA-critical trunk (≈31% of these lanes).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What the three moves are worth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If the top three hubs (Gurgaon, Bangalore, Bhiwandi) are upgraded so that 40% of their excess delay is removed — a conservative target that brings them toward network-median performance — the modelled impact is: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color w:val="2e7d52"/>
          <w:sz w:val="20"/>
          <w:szCs w:val="20"/>
        </w:rPr>
        <w:t xml:space="preserve">~28% fewer late deliveries</w:t>
      </w:r>
      <w:r>
        <w:rPr>
          <w:rFonts w:ascii="Arial" w:cs="Arial" w:eastAsia="Arial" w:hAnsi="Arial"/>
          <w:sz w:val="20"/>
          <w:szCs w:val="20"/>
        </w:rPr>
        <w:t xml:space="preserve"> on the corridors those hubs touch (≈5% across the entire network, from just three sites).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color w:val="2e7d52"/>
          <w:sz w:val="20"/>
          <w:szCs w:val="20"/>
        </w:rPr>
        <w:t xml:space="preserve">~110,000 hours of delay recovered per year</w:t>
      </w:r>
      <w:r>
        <w:rPr>
          <w:rFonts w:ascii="Arial" w:cs="Arial" w:eastAsia="Arial" w:hAnsi="Arial"/>
          <w:sz w:val="20"/>
          <w:szCs w:val="20"/>
        </w:rPr>
        <w:t xml:space="preserve"> — capacity that is currently lost to congestion and dwell.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Arial" w:cs="Arial" w:eastAsia="Arial" w:hAnsi="Arial"/>
          <w:b/>
          <w:bCs/>
          <w:color w:val="2e7d52"/>
          <w:sz w:val="20"/>
          <w:szCs w:val="20"/>
        </w:rPr>
        <w:t xml:space="preserve">≈ ₹1.5 crore/year of revenue-at-risk recovered</w:t>
      </w:r>
      <w:r>
        <w:rPr>
          <w:rFonts w:ascii="Arial" w:cs="Arial" w:eastAsia="Arial" w:hAnsi="Arial"/>
          <w:sz w:val="20"/>
          <w:szCs w:val="20"/>
        </w:rPr>
        <w:t xml:space="preserve"> (SLA penalties + churn avoided). Figures use explicit, finance-tunable assumptions; the leverage point — three hubs — is the robust finding.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A faster win available now: better ETAs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Independent of any facility spend, replacing the OSRM estimate with our graph-enhanced ETA model is a software change with immediate effect. On held-out data it is on-target (within 15% of actual) </w:t>
      </w:r>
      <w:r>
        <w:rPr>
          <w:rFonts w:ascii="Arial" w:cs="Arial" w:eastAsia="Arial" w:hAnsi="Arial"/>
          <w:b/>
          <w:bCs/>
          <w:color w:val="2e7d52"/>
          <w:sz w:val="20"/>
          <w:szCs w:val="20"/>
        </w:rPr>
        <w:t xml:space="preserve">58% of the time versus 4% today</w:t>
      </w:r>
      <w:r>
        <w:rPr>
          <w:rFonts w:ascii="Arial" w:cs="Arial" w:eastAsia="Arial" w:hAnsi="Arial"/>
          <w:sz w:val="20"/>
          <w:szCs w:val="20"/>
        </w:rPr>
        <w:t xml:space="preserve">, and its average error falls from 108 minutes to 28. The single most powerful signal is corridor-level history — exactly what a point-to-point engine like OSRM ignores.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333625"/>
            <wp:effectExtent t="0" r="0" b="0" l="0"/>
            <wp:docPr id="1" name="fig3_model_comparison.png" descr="Figure 4 — The graph-enhanced model beats both today's OSRM and a trip-features-only baseline on accuracy and on the on-target-ETA business metric." title="Figure 4 — The graph-enhanced model beats both today's OSRM and a trip-features-only baseline on accuracy and on the on-target-ETA business metr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7b"/>
          <w:sz w:val="16"/>
          <w:szCs w:val="16"/>
        </w:rPr>
        <w:t xml:space="preserve">Figure 4 — The graph-enhanced model beats both today's OSRM and a trip-features-only baseline on accuracy and on the on-target-ETA business metric.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color w:val="1d2733"/>
        </w:rPr>
        <w:t xml:space="preserve">Recommended actions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the graph-enhanced ETA model</w:t>
      </w:r>
      <w:r>
        <w:rPr>
          <w:rFonts w:ascii="Arial" w:cs="Arial" w:eastAsia="Arial" w:hAnsi="Arial"/>
          <w:sz w:val="20"/>
          <w:szCs w:val="20"/>
        </w:rPr>
        <w:t xml:space="preserve"> for promised-time generation and capacity planning (quick win, no capex).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Upgrade Gurgaon first</w:t>
      </w:r>
      <w:r>
        <w:rPr>
          <w:rFonts w:ascii="Arial" w:cs="Arial" w:eastAsia="Arial" w:hAnsi="Arial"/>
          <w:sz w:val="20"/>
          <w:szCs w:val="20"/>
        </w:rPr>
        <w:t xml:space="preserve"> — it alone is 12.5% of network delay; add parallel sortation and dedicated night-dispatch lanes.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 up a parallel relay on Gurgaon⇄Bangalore</w:t>
      </w:r>
      <w:r>
        <w:rPr>
          <w:rFonts w:ascii="Arial" w:cs="Arial" w:eastAsia="Arial" w:hAnsi="Arial"/>
          <w:sz w:val="20"/>
          <w:szCs w:val="20"/>
        </w:rPr>
        <w:t xml:space="preserve">, the worst single corridor in the network.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Adopt the FTL/Carting rule</w:t>
      </w:r>
      <w:r>
        <w:rPr>
          <w:rFonts w:ascii="Arial" w:cs="Arial" w:eastAsia="Arial" w:hAnsi="Arial"/>
          <w:sz w:val="20"/>
          <w:szCs w:val="20"/>
        </w:rPr>
        <w:t xml:space="preserve"> (FTL on long-haul and central-hub trunks; Carting on short feeders).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Bhiwandi and Kolkata for facility-side dwell</w:t>
      </w:r>
      <w:r>
        <w:rPr>
          <w:rFonts w:ascii="Arial" w:cs="Arial" w:eastAsia="Arial" w:hAnsi="Arial"/>
          <w:sz w:val="20"/>
          <w:szCs w:val="20"/>
        </w:rPr>
        <w:t xml:space="preserve"> — their delay is high even for their volume, pointing to handling, not roads.</w:t>
      </w:r>
    </w:p>
    <w:p>
      <w:pPr>
        <w:pBdr>
          <w:top w:val="single" w:color="c9d3dd" w:sz="4" w:space="6"/>
        </w:pBdr>
        <w:spacing w:before="200"/>
      </w:pPr>
      <w:r>
        <w:rPr>
          <w:rFonts w:ascii="Arial" w:cs="Arial" w:eastAsia="Arial" w:hAnsi="Arial"/>
          <w:b/>
          <w:bCs/>
          <w:color w:val="5a6b7b"/>
          <w:sz w:val="15"/>
          <w:szCs w:val="15"/>
        </w:rPr>
        <w:t xml:space="preserve">Method in brief: </w:t>
      </w:r>
      <w:r>
        <w:rPr>
          <w:rFonts w:ascii="Arial" w:cs="Arial" w:eastAsia="Arial" w:hAnsi="Arial"/>
          <w:i/>
          <w:iCs/>
          <w:color w:val="8a98a6"/>
          <w:sz w:val="15"/>
          <w:szCs w:val="15"/>
        </w:rPr>
        <w:t xml:space="preserve">Directed weighted graph of 1,657 facilities and 2,775 corridors; edge weights = median actual÷OSRM delay ratio, stratified by route type and time of day. Hub ranking blends betweenness centrality, throughput and delay contribution. ETA model = gradient-boosted trees on trip features plus node2vec graph embeddings and corridor history, evaluated on a held-out 20% with leakage controls. All business constants are configurable. Data window ≈ 25 days, Sep–Oct 2018.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8a6"/>
        <w:sz w:val="14"/>
        <w:szCs w:val="14"/>
      </w:rPr>
      <w:t xml:space="preserve">Graph-Based Network Intelligence  ·  Strategy Memo  ·  Page </w:t>
    </w:r>
    <w:r>
      <w:rPr>
        <w:rFonts w:ascii="Arial" w:cs="Arial" w:eastAsia="Arial" w:hAnsi="Arial"/>
        <w:color w:val="8a98a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8a6"/>
        <w:sz w:val="14"/>
        <w:szCs w:val="14"/>
      </w:rPr>
      <w:t xml:space="preserve"> of </w:t>
    </w:r>
    <w:r>
      <w:rPr>
        <w:rFonts w:ascii="Arial" w:cs="Arial" w:eastAsia="Arial" w:hAnsi="Arial"/>
        <w:color w:val="8a98a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440e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1440e"/>
        <w:sz w:val="14"/>
        <w:szCs w:val="14"/>
      </w:rPr>
      <w:t xml:space="preserve">CONFIDENTIAL</w:t>
    </w:r>
    <w:r>
      <w:rPr>
        <w:rFonts w:ascii="Arial" w:cs="Arial" w:eastAsia="Arial" w:hAnsi="Arial"/>
        <w:color w:val="5a6b7b"/>
        <w:sz w:val="14"/>
        <w:szCs w:val="14"/>
      </w:rPr>
      <w:t xml:space="preserve">	Delhivery — Network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c1440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d27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1440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dd7c1ead64e5a7251fc32534047bc344fb944c.png"/><Relationship Id="rId10" Type="http://schemas.openxmlformats.org/officeDocument/2006/relationships/image" Target="media/900c58b7b8cd434cf443fef5234e470c92bd9d7b.png"/><Relationship Id="rId11" Type="http://schemas.openxmlformats.org/officeDocument/2006/relationships/image" Target="media/6cc63dcbbb34008005bddc8a1b8590504a622c53.png"/><Relationship Id="rId12" Type="http://schemas.openxmlformats.org/officeDocument/2006/relationships/image" Target="media/329ae4e6bfb8e427cfd40d70b5932aeeec7c68e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Operations Strategy Memo</dc:title>
  <dc:creator>Network Analytics</dc:creator>
  <cp:lastModifiedBy>Un-named</cp:lastModifiedBy>
  <cp:revision>1</cp:revision>
  <dcterms:created xsi:type="dcterms:W3CDTF">2026-06-13T06:29:03.633Z</dcterms:created>
  <dcterms:modified xsi:type="dcterms:W3CDTF">2026-06-13T06:29:03.633Z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