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6C63FF"/>
          <w:sz w:val="24"/>
        </w:rPr>
        <w:t>━━━━━━━━━━━━━━━━━━━━━━━━━━━━━━</w:t>
      </w:r>
    </w:p>
    <w:p>
      <w:pPr>
        <w:spacing w:before="480" w:after="160"/>
        <w:jc w:val="center"/>
      </w:pPr>
      <w:r>
        <w:rPr>
          <w:rFonts w:ascii="Calibri" w:hAnsi="Calibri"/>
          <w:b/>
          <w:color w:val="2D3448"/>
          <w:sz w:val="84"/>
        </w:rPr>
        <w:t>BioRadar AI/ML</w:t>
      </w:r>
    </w:p>
    <w:p>
      <w:pPr>
        <w:spacing w:after="160"/>
        <w:jc w:val="center"/>
      </w:pPr>
      <w:r>
        <w:rPr>
          <w:rFonts w:ascii="Calibri" w:hAnsi="Calibri"/>
          <w:b/>
          <w:color w:val="6C63FF"/>
          <w:sz w:val="48"/>
        </w:rPr>
        <w:t>Feature Expansion Research</w:t>
      </w:r>
    </w:p>
    <w:p>
      <w:pPr>
        <w:spacing w:after="480"/>
        <w:jc w:val="center"/>
      </w:pPr>
      <w:r>
        <w:rPr>
          <w:rFonts w:ascii="Calibri" w:hAnsi="Calibri"/>
          <w:i/>
          <w:color w:val="646C7C"/>
          <w:sz w:val="26"/>
        </w:rPr>
        <w:t>Invasive Spread Prediction, Extinction Risk Modelling,</w:t>
        <w:br/>
        <w:t>and AI-Powered Accessibility for Non-Technical Forest Officers</w:t>
      </w:r>
    </w:p>
    <w:p>
      <w:pPr>
        <w:jc w:val="center"/>
      </w:pPr>
      <w:r>
        <w:rPr>
          <w:color w:val="6C63FF"/>
          <w:sz w:val="24"/>
        </w:rPr>
        <w:t>━━━━━━━━━━━━━━━━━━━━━━━━━━━━━━</w:t>
      </w:r>
    </w:p>
    <w:p/>
    <w:p/>
    <w:p/>
    <w:p/>
    <w:tbl>
      <w:tblPr>
        <w:tblW w:type="auto" w:w="0"/>
        <w:jc w:val="center"/>
        <w:tblLook w:firstColumn="1" w:firstRow="1" w:lastColumn="0" w:lastRow="0" w:noHBand="0" w:noVBand="1" w:val="04A0"/>
      </w:tblPr>
      <w:tblGrid>
        <w:gridCol w:w="4677"/>
        <w:gridCol w:w="4677"/>
      </w:tblGrid>
      <w:tr>
        <w:tc>
          <w:tcPr>
            <w:tcW w:type="dxa" w:w="2551"/>
          </w:tcPr>
          <w:p>
            <w:r/>
            <w:r>
              <w:rPr>
                <w:rFonts w:ascii="Calibri" w:hAnsi="Calibri"/>
                <w:b/>
                <w:color w:val="2D3448"/>
                <w:sz w:val="20"/>
              </w:rPr>
              <w:t>Project</w:t>
            </w:r>
          </w:p>
        </w:tc>
        <w:tc>
          <w:tcPr>
            <w:tcW w:type="dxa" w:w="6236"/>
          </w:tcPr>
          <w:p>
            <w:r/>
            <w:r>
              <w:rPr>
                <w:rFonts w:ascii="Calibri" w:hAnsi="Calibri"/>
                <w:sz w:val="20"/>
              </w:rPr>
              <w:t>BioRadar — SIH 2026 (SIH25042, MoES)</w:t>
            </w:r>
          </w:p>
        </w:tc>
      </w:tr>
      <w:tr>
        <w:tc>
          <w:tcPr>
            <w:tcW w:type="dxa" w:w="2551"/>
          </w:tcPr>
          <w:p>
            <w:r/>
            <w:r>
              <w:rPr>
                <w:rFonts w:ascii="Calibri" w:hAnsi="Calibri"/>
                <w:b/>
                <w:color w:val="2D3448"/>
                <w:sz w:val="20"/>
              </w:rPr>
              <w:t>Document Type</w:t>
            </w:r>
          </w:p>
        </w:tc>
        <w:tc>
          <w:tcPr>
            <w:tcW w:type="dxa" w:w="6236"/>
          </w:tcPr>
          <w:p>
            <w:r/>
            <w:r>
              <w:rPr>
                <w:rFonts w:ascii="Calibri" w:hAnsi="Calibri"/>
                <w:sz w:val="20"/>
              </w:rPr>
              <w:t>Technical Documentation — In-Depth Research</w:t>
            </w:r>
          </w:p>
        </w:tc>
      </w:tr>
      <w:tr>
        <w:tc>
          <w:tcPr>
            <w:tcW w:type="dxa" w:w="2551"/>
          </w:tcPr>
          <w:p>
            <w:r/>
            <w:r>
              <w:rPr>
                <w:rFonts w:ascii="Calibri" w:hAnsi="Calibri"/>
                <w:b/>
                <w:color w:val="2D3448"/>
                <w:sz w:val="20"/>
              </w:rPr>
              <w:t>Research Question</w:t>
            </w:r>
          </w:p>
        </w:tc>
        <w:tc>
          <w:tcPr>
            <w:tcW w:type="dxa" w:w="6236"/>
          </w:tcPr>
          <w:p>
            <w:r/>
            <w:r>
              <w:rPr>
                <w:rFonts w:ascii="Calibri" w:hAnsi="Calibri"/>
                <w:sz w:val="20"/>
              </w:rPr>
              <w:t>Can AI predict invasive spread, extinction timelines, and empower non-technical officers?</w:t>
            </w:r>
          </w:p>
        </w:tc>
      </w:tr>
      <w:tr>
        <w:tc>
          <w:tcPr>
            <w:tcW w:type="dxa" w:w="2551"/>
          </w:tcPr>
          <w:p>
            <w:r/>
            <w:r>
              <w:rPr>
                <w:rFonts w:ascii="Calibri" w:hAnsi="Calibri"/>
                <w:b/>
                <w:color w:val="2D3448"/>
                <w:sz w:val="20"/>
              </w:rPr>
              <w:t>Methodology</w:t>
            </w:r>
          </w:p>
        </w:tc>
        <w:tc>
          <w:tcPr>
            <w:tcW w:type="dxa" w:w="6236"/>
          </w:tcPr>
          <w:p>
            <w:r/>
            <w:r>
              <w:rPr>
                <w:rFonts w:ascii="Calibri" w:hAnsi="Calibri"/>
                <w:sz w:val="20"/>
              </w:rPr>
              <w:t>2 parallel agents, 57 web searches, 180+ verified citations</w:t>
            </w:r>
          </w:p>
        </w:tc>
      </w:tr>
      <w:tr>
        <w:tc>
          <w:tcPr>
            <w:tcW w:type="dxa" w:w="2551"/>
          </w:tcPr>
          <w:p>
            <w:r/>
            <w:r>
              <w:rPr>
                <w:rFonts w:ascii="Calibri" w:hAnsi="Calibri"/>
                <w:b/>
                <w:color w:val="2D3448"/>
                <w:sz w:val="20"/>
              </w:rPr>
              <w:t>Compared Against</w:t>
            </w:r>
          </w:p>
        </w:tc>
        <w:tc>
          <w:tcPr>
            <w:tcW w:type="dxa" w:w="6236"/>
          </w:tcPr>
          <w:p>
            <w:r/>
            <w:r>
              <w:rPr>
                <w:rFonts w:ascii="Calibri" w:hAnsi="Calibri"/>
                <w:sz w:val="20"/>
              </w:rPr>
              <w:t>MaxEnt, BIOMOD2, VORTEX, eDNAoccupancy, iNaturalist CV, LangGraph, SHAP/LIME</w:t>
            </w:r>
          </w:p>
        </w:tc>
      </w:tr>
      <w:tr>
        <w:tc>
          <w:tcPr>
            <w:tcW w:type="dxa" w:w="2551"/>
          </w:tcPr>
          <w:p>
            <w:r/>
            <w:r>
              <w:rPr>
                <w:rFonts w:ascii="Calibri" w:hAnsi="Calibri"/>
                <w:b/>
                <w:color w:val="2D3448"/>
                <w:sz w:val="20"/>
              </w:rPr>
              <w:t>Version</w:t>
            </w:r>
          </w:p>
        </w:tc>
        <w:tc>
          <w:tcPr>
            <w:tcW w:type="dxa" w:w="6236"/>
          </w:tcPr>
          <w:p>
            <w:r/>
            <w:r>
              <w:rPr>
                <w:rFonts w:ascii="Calibri" w:hAnsi="Calibri"/>
                <w:sz w:val="20"/>
              </w:rPr>
              <w:t>1.0</w:t>
            </w:r>
          </w:p>
        </w:tc>
      </w:tr>
      <w:tr>
        <w:tc>
          <w:tcPr>
            <w:tcW w:type="dxa" w:w="2551"/>
          </w:tcPr>
          <w:p>
            <w:r/>
            <w:r>
              <w:rPr>
                <w:rFonts w:ascii="Calibri" w:hAnsi="Calibri"/>
                <w:b/>
                <w:color w:val="2D3448"/>
                <w:sz w:val="20"/>
              </w:rPr>
              <w:t>Date</w:t>
            </w:r>
          </w:p>
        </w:tc>
        <w:tc>
          <w:tcPr>
            <w:tcW w:type="dxa" w:w="6236"/>
          </w:tcPr>
          <w:p>
            <w:r/>
            <w:r>
              <w:rPr>
                <w:rFonts w:ascii="Calibri" w:hAnsi="Calibri"/>
                <w:sz w:val="20"/>
              </w:rPr>
              <w:t>2026-08-05</w:t>
            </w:r>
          </w:p>
        </w:tc>
      </w:tr>
    </w:tbl>
    <w:p>
      <w:r>
        <w:br w:type="page"/>
      </w:r>
    </w:p>
    <w:p>
      <w:pPr>
        <w:pStyle w:val="Heading1"/>
      </w:pPr>
      <w:r>
        <w:rPr>
          <w:rFonts w:ascii="Calibri" w:hAnsi="Calibri"/>
          <w:color w:val="1F4E79"/>
          <w:sz w:val="40"/>
        </w:rPr>
        <w:t>Opening Hook: From Detection to Prediction</w:t>
      </w:r>
    </w:p>
    <w:p>
      <w:pPr>
        <w:spacing w:line="312" w:lineRule="auto" w:after="120" w:before="0"/>
        <w:jc w:val="left"/>
      </w:pPr>
      <w:r>
        <w:rPr>
          <w:rFonts w:ascii="Calibri" w:hAnsi="Calibri"/>
          <w:b w:val="0"/>
          <w:i w:val="0"/>
          <w:sz w:val="22"/>
        </w:rPr>
        <w:t>BioRadar today answers one question: 'What species are in this water?' The answer — produced by a forked QIIME2 pipeline, an India-curated classifier, and a flagging engine — is already more actionable than anything any existing eDNA platform provides. But detection is reactive. By the time an invasive species appears in an eDNA sample, it has already arrived. By the time an endangered species stops appearing, it may already be locally extinct. The next leap — the leap that would make BioRadar not just a monitoring tool but a conservation intelligence platform — is prediction. 'Where will the invasive catfish spread next month?' 'How long does the golden mahseer population in this river have before it collapses?' 'Which site should I sample next to maximize the chance of early detection?' These are not detection questions; they are prediction questions, and they require AI/ML that goes beyond taxonomy classification. This document researches whether such predictions are scientifically feasible, technically implementable, and practically useful for a forest officer who has never heard of a species distribution model.</w:t>
      </w:r>
    </w:p>
    <w:p>
      <w:pPr>
        <w:spacing w:before="160" w:after="80"/>
        <w:ind w:left="567" w:right="567"/>
        <w:pBdr>
          <w:left w:val="single" w:sz="18" w:space="10" w:color="2E75B6"/>
        </w:pBdr>
      </w:pPr>
      <w:r>
        <w:rPr>
          <w:rFonts w:ascii="Calibri" w:hAnsi="Calibri"/>
          <w:i/>
          <w:color w:val="595959"/>
          <w:sz w:val="22"/>
        </w:rPr>
        <w:t>Detection tells you what is there. Prediction tells you what will be there. A platform that does both does not just monitor biodiversity — it actively shapes conservation strategy.</w:t>
      </w:r>
    </w:p>
    <w:p>
      <w:pPr>
        <w:spacing w:after="160"/>
        <w:ind w:right="567"/>
        <w:jc w:val="right"/>
      </w:pPr>
      <w:r>
        <w:rPr>
          <w:rFonts w:ascii="Calibri" w:hAnsi="Calibri"/>
          <w:color w:val="595959"/>
          <w:sz w:val="20"/>
        </w:rPr>
        <w:t>— Research synthesis, Tasks AI-1 and AI-2</w:t>
      </w:r>
    </w:p>
    <w:p>
      <w:pPr>
        <w:spacing w:line="312" w:lineRule="auto" w:after="120" w:before="0"/>
        <w:jc w:val="left"/>
      </w:pPr>
      <w:r>
        <w:rPr>
          <w:rFonts w:ascii="Calibri" w:hAnsi="Calibri"/>
          <w:b w:val="0"/>
          <w:i w:val="0"/>
          <w:sz w:val="22"/>
        </w:rPr>
        <w:t>The research, conducted by two parallel agents across 57 web searches and 180+ verified citations, examined 18 AI/ML feature candidates across two dimensions: (1) predictive modelling (species distribution, invasive spread, extinction risk, population viability, occupancy, time-series forecasting) and (2) accessibility (automated insight generation, smart alerts with reasoning, anomaly detection, computer vision field verification, sampling recommendations, conversational AI, automated report generation, transfer learning, federated learning, explainable AI). The finding is that yes, BioRadar can do all of these — but not all at once, and not all equally well. This document identifies the 7 features that are both scientifically grounded and practically implementable, ranks them by impact and difficulty, and specifies exactly what data, models, and infrastructure each requires.</w:t>
      </w:r>
    </w:p>
    <w:p>
      <w:pPr>
        <w:pStyle w:val="Heading1"/>
      </w:pPr>
      <w:r>
        <w:rPr>
          <w:rFonts w:ascii="Calibri" w:hAnsi="Calibri"/>
          <w:color w:val="1F4E79"/>
          <w:sz w:val="40"/>
        </w:rPr>
        <w:t>Background: What BioRadar Already Has and What It Needs</w:t>
      </w:r>
    </w:p>
    <w:p>
      <w:pPr>
        <w:pStyle w:val="Heading2"/>
      </w:pPr>
      <w:r>
        <w:rPr>
          <w:rFonts w:ascii="Calibri" w:hAnsi="Calibri"/>
          <w:color w:val="1F4E79"/>
          <w:sz w:val="32"/>
        </w:rPr>
        <w:t>1. Current AI/ML Capabilities in BioRadar</w:t>
      </w:r>
    </w:p>
    <w:p>
      <w:pPr>
        <w:spacing w:line="312" w:lineRule="auto" w:after="120" w:before="0"/>
        <w:jc w:val="left"/>
      </w:pPr>
      <w:r>
        <w:rPr>
          <w:rFonts w:ascii="Calibri" w:hAnsi="Calibri"/>
          <w:b w:val="0"/>
          <w:i w:val="0"/>
          <w:sz w:val="22"/>
        </w:rPr>
        <w:t>BioRadar already incorporates two AI/ML features: (1) the DNA Foundation Model second opinion, which uses Nucleotide Transformer or DNABERT-2 embeddings to provide an independent taxonomic classification when the primary sklearn classifier's confidence is below 0.8 (documented in Volume XI, Section 59 of the comprehensive technical documentation); and (2) the RAG-based natural-language querying interface, which allows users to ask questions like 'Show me all invasive fish in Kerala' using LangChain + Chroma + Llama 3 (Volume XI, Section 62). These are both reactive features — they operate on data that has already been produced. They do not predict the future, and they do not generate new insights that a human analyst could not derive from the same data. The features researched in this document are fundamentally different: they predict what has not yet happened, and they generate insights that a non-expert could not derive on their own.</w:t>
      </w:r>
    </w:p>
    <w:p>
      <w:pPr>
        <w:pStyle w:val="Heading2"/>
      </w:pPr>
      <w:r>
        <w:rPr>
          <w:rFonts w:ascii="Calibri" w:hAnsi="Calibri"/>
          <w:color w:val="1F4E79"/>
          <w:sz w:val="32"/>
        </w:rPr>
        <w:t>2. The Prediction Problem</w:t>
      </w:r>
    </w:p>
    <w:p>
      <w:pPr>
        <w:spacing w:line="312" w:lineRule="auto" w:after="120" w:before="0"/>
        <w:jc w:val="left"/>
      </w:pPr>
      <w:r>
        <w:rPr>
          <w:rFonts w:ascii="Calibri" w:hAnsi="Calibri"/>
          <w:b w:val="0"/>
          <w:i w:val="0"/>
          <w:sz w:val="22"/>
        </w:rPr>
        <w:t>Predicting where an invasive species will spread requires three inputs: (a) where the species currently is (BioRadar's eDNA detections provide this), (b) what environmental conditions the species can tolerate (species distribution models like MaxEnt provide this), and (c) how the species disperses (spread models like cellular automata or gravity models provide this). BioRadar has input (a) — the eDNA detection data. It does not have inputs (b) and (c), but these are available from existing ecological research and environmental data sources (WorldClim, ISRO Bhuvan, CPCB). The technical challenge is integrating these three inputs into a predictive model and presenting the output as an actionable recommendation for a forest officer.</w:t>
      </w:r>
    </w:p>
    <w:p>
      <w:pPr>
        <w:spacing w:line="312" w:lineRule="auto" w:after="120" w:before="0"/>
        <w:jc w:val="left"/>
      </w:pPr>
      <w:r>
        <w:rPr>
          <w:rFonts w:ascii="Calibri" w:hAnsi="Calibri"/>
          <w:b w:val="0"/>
          <w:i w:val="0"/>
          <w:sz w:val="22"/>
        </w:rPr>
        <w:t>Predicting extinction risk requires different inputs: (a) the species' current population status (eDNA detection frequency as a proxy for abundance), (b) the species' biological traits (body size, reproductive rate, habitat specificity — available from IUCN and FishBase), and (c) threat factors in the area (pollution, habitat loss, invasive competitors — available from CPCB and satellite data). Machine learning models trained on these inputs can predict IUCN Red List categories with 91% accuracy (Bland et al. 2015, Conservation Biology). This means BioRadar could, in principle, estimate the extinction risk category of a detected species without waiting for a formal IUCN assessment.</w:t>
      </w:r>
    </w:p>
    <w:p>
      <w:pPr>
        <w:pStyle w:val="Heading2"/>
      </w:pPr>
      <w:r>
        <w:rPr>
          <w:rFonts w:ascii="Calibri" w:hAnsi="Calibri"/>
          <w:color w:val="1F4E79"/>
          <w:sz w:val="32"/>
        </w:rPr>
        <w:t>3. The Accessibility Problem</w:t>
      </w:r>
    </w:p>
    <w:p>
      <w:pPr>
        <w:spacing w:line="312" w:lineRule="auto" w:after="120" w:before="0"/>
        <w:jc w:val="left"/>
      </w:pPr>
      <w:r>
        <w:rPr>
          <w:rFonts w:ascii="Calibri" w:hAnsi="Calibri"/>
          <w:b w:val="0"/>
          <w:i w:val="0"/>
          <w:sz w:val="22"/>
        </w:rPr>
        <w:t>A forest officer sees a BioRadar alert: 'ASV_002: Clarias gariepinus, confidence 0.95, read_count 1876.' This alert is technically correct but practically useless to the officer. What does 'confidence 0.95' mean? Is 1876 reads high or low? What should the officer do? The officer needs: 'Invasive African catfish detected at high abundance. This species is banned in India since 2000 because it preys on native fish. In this river, it threatens the endangered golden mahseer (also detected). Dispatch a field team to confirm within 7 days.' This translation — from data to decision — is what AI/ML can provide. It is not a prediction; it is an interpretation. But for a non-technical user, interpretation is more valuable than prediction.</w:t>
      </w:r>
    </w:p>
    <w:p>
      <w:pPr>
        <w:pStyle w:val="Heading1"/>
      </w:pPr>
      <w:r>
        <w:rPr>
          <w:rFonts w:ascii="Calibri" w:hAnsi="Calibri"/>
          <w:color w:val="1F4E79"/>
          <w:sz w:val="40"/>
        </w:rPr>
        <w:t>Main Body: 7 AI/ML Features for BioRadar</w:t>
      </w:r>
    </w:p>
    <w:p>
      <w:pPr>
        <w:spacing w:line="312" w:lineRule="auto" w:after="120" w:before="0"/>
        <w:jc w:val="left"/>
      </w:pPr>
      <w:r>
        <w:rPr>
          <w:rFonts w:ascii="Calibri" w:hAnsi="Calibri"/>
          <w:b w:val="0"/>
          <w:i w:val="0"/>
          <w:sz w:val="22"/>
        </w:rPr>
        <w:t>After evaluating 18 candidate features across two research agents, 7 emerge as both scientifically grounded and practically implementable for BioRadar. Each is specified below with: what it is, why it matters, how it works (the science), data requirements, build difficulty, priority tier, and how it improves the product for non-technical forest officers.</w:t>
      </w:r>
    </w:p>
    <w:p>
      <w:pPr>
        <w:pStyle w:val="Heading2"/>
      </w:pPr>
      <w:r>
        <w:rPr>
          <w:rFonts w:ascii="Calibri" w:hAnsi="Calibri"/>
          <w:color w:val="1F4E79"/>
          <w:sz w:val="32"/>
        </w:rPr>
        <w:t>4. Feature 1: Invasive Species Spread Prediction (MaxEnt + Cellular Automata)</w:t>
      </w:r>
    </w:p>
    <w:p>
      <w:pPr>
        <w:pStyle w:val="Heading3"/>
      </w:pPr>
      <w:r>
        <w:rPr>
          <w:rFonts w:ascii="Calibri" w:hAnsi="Calibri"/>
          <w:color w:val="1F4E79"/>
          <w:sz w:val="26"/>
        </w:rPr>
        <w:t>4.1 What It Is</w:t>
      </w:r>
    </w:p>
    <w:p>
      <w:pPr>
        <w:spacing w:line="312" w:lineRule="auto" w:after="120" w:before="0"/>
        <w:jc w:val="left"/>
      </w:pPr>
      <w:r>
        <w:rPr>
          <w:rFonts w:ascii="Calibri" w:hAnsi="Calibri"/>
          <w:b w:val="0"/>
          <w:i w:val="0"/>
          <w:sz w:val="22"/>
        </w:rPr>
        <w:t>A predictive model that takes BioRadar's current invasive species detections and forecasts where the species is likely to spread over the next 1-12 months. The output is a heatmap on the dashboard showing 'invasion risk' — areas where the invasive species is likely to appear, color-coded from low (green) to high (red) probability. The officer sees not just where the invasive IS, but where it is GOING.</w:t>
      </w:r>
    </w:p>
    <w:p>
      <w:pPr>
        <w:pStyle w:val="Heading3"/>
      </w:pPr>
      <w:r>
        <w:rPr>
          <w:rFonts w:ascii="Calibri" w:hAnsi="Calibri"/>
          <w:color w:val="1F4E79"/>
          <w:sz w:val="26"/>
        </w:rPr>
        <w:t>4.2 Why It Matters</w:t>
      </w:r>
    </w:p>
    <w:p>
      <w:pPr>
        <w:spacing w:line="312" w:lineRule="auto" w:after="120" w:before="0"/>
        <w:jc w:val="left"/>
      </w:pPr>
      <w:r>
        <w:rPr>
          <w:rFonts w:ascii="Calibri" w:hAnsi="Calibri"/>
          <w:b w:val="0"/>
          <w:i w:val="0"/>
          <w:sz w:val="22"/>
        </w:rPr>
        <w:t>Early detection is only valuable if followed by rapid response. But rapid response requires knowing WHERE to respond — you cannot survey an entire river system. A spread prediction model narrows the search from 'everywhere in the river' to 'the next 5 kilometers downstream, with 78% probability.' This is the difference between finding the invasive population while it is still eradicable and finding it after it has established. The USGS uses similar modelling for Asian carp in the Great Lakes and Burmese pythons in Florida; India has no equivalent operational tool for its invasive species.</w:t>
      </w:r>
    </w:p>
    <w:p>
      <w:pPr>
        <w:pStyle w:val="Heading3"/>
      </w:pPr>
      <w:r>
        <w:rPr>
          <w:rFonts w:ascii="Calibri" w:hAnsi="Calibri"/>
          <w:color w:val="1F4E79"/>
          <w:sz w:val="26"/>
        </w:rPr>
        <w:t>4.3 How It Works (The Science)</w:t>
      </w:r>
    </w:p>
    <w:p>
      <w:pPr>
        <w:spacing w:line="312" w:lineRule="auto" w:after="120" w:before="0"/>
        <w:jc w:val="left"/>
      </w:pPr>
      <w:r>
        <w:rPr>
          <w:rFonts w:ascii="Calibri" w:hAnsi="Calibri"/>
          <w:b w:val="0"/>
          <w:i w:val="0"/>
          <w:sz w:val="22"/>
        </w:rPr>
        <w:t>The model combines two established ecological modelling approaches. First, MaxEnt (Maximum Entropy) species distribution modelling, published by Phillips, Anderson, and Schapire in 2006 in Ecological Modelling [1] and cited over 24,000 times — the most widely used SDM in ecology. MaxEnt takes known occurrence points (BioRadar's eDNA detections) and environmental layers (temperature, precipitation, elevation, water quality from WorldClim and CPCB) and predicts the species' potential distribution — where it COULD survive. Second, a cellular automata (CA) spread model, which simulates neighbourhood colonisation along river networks — the species 'flows' downstream at a rate determined by water velocity, habitat suitability (from MaxEnt), and distance. The CA approach was validated by BenDor et al. (2006) and more recently by Gränzig et al. (2023) for aquatic invasive species. The combination — MaxEnt for habitat suitability, CA for dispersal — is the standard approach used by the USGS and recommended by the IPBES Invasive Alien Species Assessment (2023).</w:t>
      </w:r>
    </w:p>
    <w:p>
      <w:pPr>
        <w:pStyle w:val="Heading3"/>
      </w:pPr>
      <w:r>
        <w:rPr>
          <w:rFonts w:ascii="Calibri" w:hAnsi="Calibri"/>
          <w:color w:val="1F4E79"/>
          <w:sz w:val="26"/>
        </w:rPr>
        <w:t>4.4 Data Requirements</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1984"/>
            <w:shd w:val="clear" w:color="auto" w:fill="1F4E79"/>
            <w:vAlign w:val="center"/>
          </w:tcPr>
          <w:p>
            <w:pPr>
              <w:jc w:val="left"/>
            </w:pPr>
            <w:r/>
            <w:r>
              <w:rPr>
                <w:rFonts w:ascii="Calibri" w:hAnsi="Calibri"/>
                <w:b/>
                <w:color w:val="FFFFFF"/>
                <w:sz w:val="20"/>
              </w:rPr>
              <w:t>Data Input</w:t>
            </w:r>
          </w:p>
        </w:tc>
        <w:tc>
          <w:tcPr>
            <w:tcW w:type="dxa" w:w="1417"/>
            <w:shd w:val="clear" w:color="auto" w:fill="1F4E79"/>
            <w:vAlign w:val="center"/>
          </w:tcPr>
          <w:p>
            <w:pPr>
              <w:jc w:val="left"/>
            </w:pPr>
            <w:r/>
            <w:r>
              <w:rPr>
                <w:rFonts w:ascii="Calibri" w:hAnsi="Calibri"/>
                <w:b/>
                <w:color w:val="FFFFFF"/>
                <w:sz w:val="20"/>
              </w:rPr>
              <w:t>Source</w:t>
            </w:r>
          </w:p>
        </w:tc>
        <w:tc>
          <w:tcPr>
            <w:tcW w:type="dxa" w:w="1417"/>
            <w:shd w:val="clear" w:color="auto" w:fill="1F4E79"/>
            <w:vAlign w:val="center"/>
          </w:tcPr>
          <w:p>
            <w:pPr>
              <w:jc w:val="left"/>
            </w:pPr>
            <w:r/>
            <w:r>
              <w:rPr>
                <w:rFonts w:ascii="Calibri" w:hAnsi="Calibri"/>
                <w:b/>
                <w:color w:val="FFFFFF"/>
                <w:sz w:val="20"/>
              </w:rPr>
              <w:t>Resolution</w:t>
            </w:r>
          </w:p>
        </w:tc>
        <w:tc>
          <w:tcPr>
            <w:tcW w:type="dxa" w:w="2551"/>
            <w:shd w:val="clear" w:color="auto" w:fill="1F4E79"/>
            <w:vAlign w:val="center"/>
          </w:tcPr>
          <w:p>
            <w:pPr>
              <w:jc w:val="left"/>
            </w:pPr>
            <w:r/>
            <w:r>
              <w:rPr>
                <w:rFonts w:ascii="Calibri" w:hAnsi="Calibri"/>
                <w:b/>
                <w:color w:val="FFFFFF"/>
                <w:sz w:val="20"/>
              </w:rPr>
              <w:t>Available?</w:t>
            </w:r>
          </w:p>
        </w:tc>
      </w:tr>
      <w:tr>
        <w:tc>
          <w:tcPr>
            <w:tcW w:type="dxa" w:w="1984"/>
            <w:vAlign w:val="top"/>
          </w:tcPr>
          <w:p>
            <w:pPr>
              <w:spacing w:after="40"/>
            </w:pPr>
            <w:r/>
            <w:r>
              <w:rPr>
                <w:rFonts w:ascii="Calibri" w:hAnsi="Calibri"/>
                <w:sz w:val="19"/>
              </w:rPr>
              <w:t>Species occurrence points</w:t>
            </w:r>
          </w:p>
        </w:tc>
        <w:tc>
          <w:tcPr>
            <w:tcW w:type="dxa" w:w="1417"/>
            <w:vAlign w:val="top"/>
          </w:tcPr>
          <w:p>
            <w:pPr>
              <w:spacing w:after="40"/>
            </w:pPr>
            <w:r/>
            <w:r>
              <w:rPr>
                <w:rFonts w:ascii="Calibri" w:hAnsi="Calibri"/>
                <w:sz w:val="19"/>
              </w:rPr>
              <w:t>BioRadar eDNA detections</w:t>
            </w:r>
          </w:p>
        </w:tc>
        <w:tc>
          <w:tcPr>
            <w:tcW w:type="dxa" w:w="1417"/>
            <w:vAlign w:val="top"/>
          </w:tcPr>
          <w:p>
            <w:pPr>
              <w:spacing w:after="40"/>
            </w:pPr>
            <w:r/>
            <w:r>
              <w:rPr>
                <w:rFonts w:ascii="Calibri" w:hAnsi="Calibri"/>
                <w:sz w:val="19"/>
              </w:rPr>
              <w:t>GPS coordinates</w:t>
            </w:r>
          </w:p>
        </w:tc>
        <w:tc>
          <w:tcPr>
            <w:tcW w:type="dxa" w:w="2551"/>
            <w:vAlign w:val="top"/>
          </w:tcPr>
          <w:p>
            <w:pPr>
              <w:spacing w:after="40"/>
            </w:pPr>
            <w:r/>
            <w:r>
              <w:rPr>
                <w:rFonts w:ascii="Calibri" w:hAnsi="Calibri"/>
                <w:sz w:val="19"/>
              </w:rPr>
              <w:t>YES — from the pipeline output</w:t>
            </w:r>
          </w:p>
        </w:tc>
      </w:tr>
      <w:tr>
        <w:tc>
          <w:tcPr>
            <w:tcW w:type="dxa" w:w="1984"/>
            <w:vAlign w:val="top"/>
            <w:shd w:val="clear" w:color="auto" w:fill="F2F7FC"/>
          </w:tcPr>
          <w:p>
            <w:pPr>
              <w:spacing w:after="40"/>
            </w:pPr>
            <w:r/>
            <w:r>
              <w:rPr>
                <w:rFonts w:ascii="Calibri" w:hAnsi="Calibri"/>
                <w:sz w:val="19"/>
              </w:rPr>
              <w:t>Temperature (bioclim variables)</w:t>
            </w:r>
          </w:p>
        </w:tc>
        <w:tc>
          <w:tcPr>
            <w:tcW w:type="dxa" w:w="1417"/>
            <w:vAlign w:val="top"/>
            <w:shd w:val="clear" w:color="auto" w:fill="F2F7FC"/>
          </w:tcPr>
          <w:p>
            <w:pPr>
              <w:spacing w:after="40"/>
            </w:pPr>
            <w:r/>
            <w:r>
              <w:rPr>
                <w:rFonts w:ascii="Calibri" w:hAnsi="Calibri"/>
                <w:sz w:val="19"/>
              </w:rPr>
              <w:t>WorldClim 2.1</w:t>
            </w:r>
          </w:p>
        </w:tc>
        <w:tc>
          <w:tcPr>
            <w:tcW w:type="dxa" w:w="1417"/>
            <w:vAlign w:val="top"/>
            <w:shd w:val="clear" w:color="auto" w:fill="F2F7FC"/>
          </w:tcPr>
          <w:p>
            <w:pPr>
              <w:spacing w:after="40"/>
            </w:pPr>
            <w:r/>
            <w:r>
              <w:rPr>
                <w:rFonts w:ascii="Calibri" w:hAnsi="Calibri"/>
                <w:sz w:val="19"/>
              </w:rPr>
              <w:t>1 km resolution</w:t>
            </w:r>
          </w:p>
        </w:tc>
        <w:tc>
          <w:tcPr>
            <w:tcW w:type="dxa" w:w="2551"/>
            <w:vAlign w:val="top"/>
            <w:shd w:val="clear" w:color="auto" w:fill="F2F7FC"/>
          </w:tcPr>
          <w:p>
            <w:pPr>
              <w:spacing w:after="40"/>
            </w:pPr>
            <w:r/>
            <w:r>
              <w:rPr>
                <w:rFonts w:ascii="Calibri" w:hAnsi="Calibri"/>
                <w:sz w:val="19"/>
              </w:rPr>
              <w:t>YES — worldclim.org (free)</w:t>
            </w:r>
          </w:p>
        </w:tc>
      </w:tr>
      <w:tr>
        <w:tc>
          <w:tcPr>
            <w:tcW w:type="dxa" w:w="1984"/>
            <w:vAlign w:val="top"/>
          </w:tcPr>
          <w:p>
            <w:pPr>
              <w:spacing w:after="40"/>
            </w:pPr>
            <w:r/>
            <w:r>
              <w:rPr>
                <w:rFonts w:ascii="Calibri" w:hAnsi="Calibri"/>
                <w:sz w:val="19"/>
              </w:rPr>
              <w:t>Precipitation</w:t>
            </w:r>
          </w:p>
        </w:tc>
        <w:tc>
          <w:tcPr>
            <w:tcW w:type="dxa" w:w="1417"/>
            <w:vAlign w:val="top"/>
          </w:tcPr>
          <w:p>
            <w:pPr>
              <w:spacing w:after="40"/>
            </w:pPr>
            <w:r/>
            <w:r>
              <w:rPr>
                <w:rFonts w:ascii="Calibri" w:hAnsi="Calibri"/>
                <w:sz w:val="19"/>
              </w:rPr>
              <w:t>WorldClim 2.1</w:t>
            </w:r>
          </w:p>
        </w:tc>
        <w:tc>
          <w:tcPr>
            <w:tcW w:type="dxa" w:w="1417"/>
            <w:vAlign w:val="top"/>
          </w:tcPr>
          <w:p>
            <w:pPr>
              <w:spacing w:after="40"/>
            </w:pPr>
            <w:r/>
            <w:r>
              <w:rPr>
                <w:rFonts w:ascii="Calibri" w:hAnsi="Calibri"/>
                <w:sz w:val="19"/>
              </w:rPr>
              <w:t>1 km resolution</w:t>
            </w:r>
          </w:p>
        </w:tc>
        <w:tc>
          <w:tcPr>
            <w:tcW w:type="dxa" w:w="2551"/>
            <w:vAlign w:val="top"/>
          </w:tcPr>
          <w:p>
            <w:pPr>
              <w:spacing w:after="40"/>
            </w:pPr>
            <w:r/>
            <w:r>
              <w:rPr>
                <w:rFonts w:ascii="Calibri" w:hAnsi="Calibri"/>
                <w:sz w:val="19"/>
              </w:rPr>
              <w:t>YES — worldclim.org (free)</w:t>
            </w:r>
          </w:p>
        </w:tc>
      </w:tr>
      <w:tr>
        <w:tc>
          <w:tcPr>
            <w:tcW w:type="dxa" w:w="1984"/>
            <w:vAlign w:val="top"/>
            <w:shd w:val="clear" w:color="auto" w:fill="F2F7FC"/>
          </w:tcPr>
          <w:p>
            <w:pPr>
              <w:spacing w:after="40"/>
            </w:pPr>
            <w:r/>
            <w:r>
              <w:rPr>
                <w:rFonts w:ascii="Calibri" w:hAnsi="Calibri"/>
                <w:sz w:val="19"/>
              </w:rPr>
              <w:t>Land use / land cover</w:t>
            </w:r>
          </w:p>
        </w:tc>
        <w:tc>
          <w:tcPr>
            <w:tcW w:type="dxa" w:w="1417"/>
            <w:vAlign w:val="top"/>
            <w:shd w:val="clear" w:color="auto" w:fill="F2F7FC"/>
          </w:tcPr>
          <w:p>
            <w:pPr>
              <w:spacing w:after="40"/>
            </w:pPr>
            <w:r/>
            <w:r>
              <w:rPr>
                <w:rFonts w:ascii="Calibri" w:hAnsi="Calibri"/>
                <w:sz w:val="19"/>
              </w:rPr>
              <w:t>ISRO Bhuvan</w:t>
            </w:r>
          </w:p>
        </w:tc>
        <w:tc>
          <w:tcPr>
            <w:tcW w:type="dxa" w:w="1417"/>
            <w:vAlign w:val="top"/>
            <w:shd w:val="clear" w:color="auto" w:fill="F2F7FC"/>
          </w:tcPr>
          <w:p>
            <w:pPr>
              <w:spacing w:after="40"/>
            </w:pPr>
            <w:r/>
            <w:r>
              <w:rPr>
                <w:rFonts w:ascii="Calibri" w:hAnsi="Calibri"/>
                <w:sz w:val="19"/>
              </w:rPr>
              <w:t>30 m resolution</w:t>
            </w:r>
          </w:p>
        </w:tc>
        <w:tc>
          <w:tcPr>
            <w:tcW w:type="dxa" w:w="2551"/>
            <w:vAlign w:val="top"/>
            <w:shd w:val="clear" w:color="auto" w:fill="F2F7FC"/>
          </w:tcPr>
          <w:p>
            <w:pPr>
              <w:spacing w:after="40"/>
            </w:pPr>
            <w:r/>
            <w:r>
              <w:rPr>
                <w:rFonts w:ascii="Calibri" w:hAnsi="Calibri"/>
                <w:sz w:val="19"/>
              </w:rPr>
              <w:t>YES — bhuvan.nrsc.gov.in (free)</w:t>
            </w:r>
          </w:p>
        </w:tc>
      </w:tr>
      <w:tr>
        <w:tc>
          <w:tcPr>
            <w:tcW w:type="dxa" w:w="1984"/>
            <w:vAlign w:val="top"/>
          </w:tcPr>
          <w:p>
            <w:pPr>
              <w:spacing w:after="40"/>
            </w:pPr>
            <w:r/>
            <w:r>
              <w:rPr>
                <w:rFonts w:ascii="Calibri" w:hAnsi="Calibri"/>
                <w:sz w:val="19"/>
              </w:rPr>
              <w:t>Water quality (pH, DO, BOD)</w:t>
            </w:r>
          </w:p>
        </w:tc>
        <w:tc>
          <w:tcPr>
            <w:tcW w:type="dxa" w:w="1417"/>
            <w:vAlign w:val="top"/>
          </w:tcPr>
          <w:p>
            <w:pPr>
              <w:spacing w:after="40"/>
            </w:pPr>
            <w:r/>
            <w:r>
              <w:rPr>
                <w:rFonts w:ascii="Calibri" w:hAnsi="Calibri"/>
                <w:sz w:val="19"/>
              </w:rPr>
              <w:t>CPCB NWMP</w:t>
            </w:r>
          </w:p>
        </w:tc>
        <w:tc>
          <w:tcPr>
            <w:tcW w:type="dxa" w:w="1417"/>
            <w:vAlign w:val="top"/>
          </w:tcPr>
          <w:p>
            <w:pPr>
              <w:spacing w:after="40"/>
            </w:pPr>
            <w:r/>
            <w:r>
              <w:rPr>
                <w:rFonts w:ascii="Calibri" w:hAnsi="Calibri"/>
                <w:sz w:val="19"/>
              </w:rPr>
              <w:t>4,736 stations</w:t>
            </w:r>
          </w:p>
        </w:tc>
        <w:tc>
          <w:tcPr>
            <w:tcW w:type="dxa" w:w="2551"/>
            <w:vAlign w:val="top"/>
          </w:tcPr>
          <w:p>
            <w:pPr>
              <w:spacing w:after="40"/>
            </w:pPr>
            <w:r/>
            <w:r>
              <w:rPr>
                <w:rFonts w:ascii="Calibri" w:hAnsi="Calibri"/>
                <w:sz w:val="19"/>
              </w:rPr>
              <w:t>YES — cpcb.nic.in (free)</w:t>
            </w:r>
          </w:p>
        </w:tc>
      </w:tr>
      <w:tr>
        <w:tc>
          <w:tcPr>
            <w:tcW w:type="dxa" w:w="1984"/>
            <w:vAlign w:val="top"/>
            <w:shd w:val="clear" w:color="auto" w:fill="F2F7FC"/>
          </w:tcPr>
          <w:p>
            <w:pPr>
              <w:spacing w:after="40"/>
            </w:pPr>
            <w:r/>
            <w:r>
              <w:rPr>
                <w:rFonts w:ascii="Calibri" w:hAnsi="Calibri"/>
                <w:sz w:val="19"/>
              </w:rPr>
              <w:t>River flow network</w:t>
            </w:r>
          </w:p>
        </w:tc>
        <w:tc>
          <w:tcPr>
            <w:tcW w:type="dxa" w:w="1417"/>
            <w:vAlign w:val="top"/>
            <w:shd w:val="clear" w:color="auto" w:fill="F2F7FC"/>
          </w:tcPr>
          <w:p>
            <w:pPr>
              <w:spacing w:after="40"/>
            </w:pPr>
            <w:r/>
            <w:r>
              <w:rPr>
                <w:rFonts w:ascii="Calibri" w:hAnsi="Calibri"/>
                <w:sz w:val="19"/>
              </w:rPr>
              <w:t>India-WRIS</w:t>
            </w:r>
          </w:p>
        </w:tc>
        <w:tc>
          <w:tcPr>
            <w:tcW w:type="dxa" w:w="1417"/>
            <w:vAlign w:val="top"/>
            <w:shd w:val="clear" w:color="auto" w:fill="F2F7FC"/>
          </w:tcPr>
          <w:p>
            <w:pPr>
              <w:spacing w:after="40"/>
            </w:pPr>
            <w:r/>
            <w:r>
              <w:rPr>
                <w:rFonts w:ascii="Calibri" w:hAnsi="Calibri"/>
                <w:sz w:val="19"/>
              </w:rPr>
              <w:t>River reach level</w:t>
            </w:r>
          </w:p>
        </w:tc>
        <w:tc>
          <w:tcPr>
            <w:tcW w:type="dxa" w:w="2551"/>
            <w:vAlign w:val="top"/>
            <w:shd w:val="clear" w:color="auto" w:fill="F2F7FC"/>
          </w:tcPr>
          <w:p>
            <w:pPr>
              <w:spacing w:after="40"/>
            </w:pPr>
            <w:r/>
            <w:r>
              <w:rPr>
                <w:rFonts w:ascii="Calibri" w:hAnsi="Calibri"/>
                <w:sz w:val="19"/>
              </w:rPr>
              <w:t>YES — india-wris.gov.in (free)</w:t>
            </w:r>
          </w:p>
        </w:tc>
      </w:tr>
      <w:tr>
        <w:tc>
          <w:tcPr>
            <w:tcW w:type="dxa" w:w="1984"/>
            <w:vAlign w:val="top"/>
          </w:tcPr>
          <w:p>
            <w:pPr>
              <w:spacing w:after="40"/>
            </w:pPr>
            <w:r/>
            <w:r>
              <w:rPr>
                <w:rFonts w:ascii="Calibri" w:hAnsi="Calibri"/>
                <w:sz w:val="19"/>
              </w:rPr>
              <w:t>Elevation</w:t>
            </w:r>
          </w:p>
        </w:tc>
        <w:tc>
          <w:tcPr>
            <w:tcW w:type="dxa" w:w="1417"/>
            <w:vAlign w:val="top"/>
          </w:tcPr>
          <w:p>
            <w:pPr>
              <w:spacing w:after="40"/>
            </w:pPr>
            <w:r/>
            <w:r>
              <w:rPr>
                <w:rFonts w:ascii="Calibri" w:hAnsi="Calibri"/>
                <w:sz w:val="19"/>
              </w:rPr>
              <w:t>SRTM DEM</w:t>
            </w:r>
          </w:p>
        </w:tc>
        <w:tc>
          <w:tcPr>
            <w:tcW w:type="dxa" w:w="1417"/>
            <w:vAlign w:val="top"/>
          </w:tcPr>
          <w:p>
            <w:pPr>
              <w:spacing w:after="40"/>
            </w:pPr>
            <w:r/>
            <w:r>
              <w:rPr>
                <w:rFonts w:ascii="Calibri" w:hAnsi="Calibri"/>
                <w:sz w:val="19"/>
              </w:rPr>
              <w:t>30 m resolution</w:t>
            </w:r>
          </w:p>
        </w:tc>
        <w:tc>
          <w:tcPr>
            <w:tcW w:type="dxa" w:w="2551"/>
            <w:vAlign w:val="top"/>
          </w:tcPr>
          <w:p>
            <w:pPr>
              <w:spacing w:after="40"/>
            </w:pPr>
            <w:r/>
            <w:r>
              <w:rPr>
                <w:rFonts w:ascii="Calibri" w:hAnsi="Calibri"/>
                <w:sz w:val="19"/>
              </w:rPr>
              <w:t>YES — free via GEE</w:t>
            </w:r>
          </w:p>
        </w:tc>
      </w:tr>
    </w:tbl>
    <w:p>
      <w:pPr>
        <w:spacing w:after="120"/>
      </w:pPr>
    </w:p>
    <w:p>
      <w:pPr>
        <w:spacing w:after="200"/>
        <w:jc w:val="center"/>
      </w:pPr>
      <w:r>
        <w:rPr>
          <w:rFonts w:ascii="Calibri" w:hAnsi="Calibri"/>
          <w:i/>
          <w:color w:val="595959"/>
          <w:sz w:val="19"/>
        </w:rPr>
        <w:t>Table 1 — Data inputs for invasive spread prediction. All are freely available for India.</w:t>
      </w:r>
    </w:p>
    <w:p>
      <w:pPr>
        <w:pStyle w:val="Heading3"/>
      </w:pPr>
      <w:r>
        <w:rPr>
          <w:rFonts w:ascii="Calibri" w:hAnsi="Calibri"/>
          <w:color w:val="1F4E79"/>
          <w:sz w:val="26"/>
        </w:rPr>
        <w:t>4.5 Build Difficulty and Priority</w:t>
      </w:r>
    </w:p>
    <w:p>
      <w:pPr>
        <w:pStyle w:val="ListBullet"/>
        <w:spacing w:line="312" w:lineRule="auto" w:after="60"/>
      </w:pPr>
      <w:r>
        <w:rPr>
          <w:rFonts w:ascii="Calibri" w:hAnsi="Calibri"/>
          <w:sz w:val="22"/>
        </w:rPr>
        <w:t>**Build difficulty**: Medium (3-5 days). MaxEnt is available as an R package (dismo) or a Java GUI. The cellular automata is ~100 lines of Python. The integration with BioRadar's dashboard (heatmap overlay) uses leaflet.heat, which is already specified in the UI guide.</w:t>
      </w:r>
    </w:p>
    <w:p>
      <w:pPr>
        <w:pStyle w:val="ListBullet"/>
        <w:spacing w:line="312" w:lineRule="auto" w:after="60"/>
      </w:pPr>
      <w:r>
        <w:rPr>
          <w:rFonts w:ascii="Calibri" w:hAnsi="Calibri"/>
          <w:sz w:val="22"/>
        </w:rPr>
        <w:t>**Priority**: HIGH-IMPACT. This is the single most visually impressive AI feature for a demo — judges see a heatmap of where the invasive catfish will spread, not just where it currently is.</w:t>
      </w:r>
    </w:p>
    <w:p>
      <w:pPr>
        <w:pStyle w:val="ListBullet"/>
        <w:spacing w:line="312" w:lineRule="auto" w:after="60"/>
      </w:pPr>
      <w:r>
        <w:rPr>
          <w:rFonts w:ascii="Calibri" w:hAnsi="Calibri"/>
          <w:sz w:val="22"/>
        </w:rPr>
        <w:t>**Impact on non-technical officers**: The officer does not need to understand MaxEnt or cellular automata. They see a red gradient on the map and a recommendation: 'High risk of invasive spread downstream within 30 days. Recommend sampling at Sites X, Y, Z.'</w:t>
      </w:r>
    </w:p>
    <w:p>
      <w:pPr>
        <w:pStyle w:val="Heading2"/>
      </w:pPr>
      <w:r>
        <w:rPr>
          <w:rFonts w:ascii="Calibri" w:hAnsi="Calibri"/>
          <w:color w:val="1F4E79"/>
          <w:sz w:val="32"/>
        </w:rPr>
        <w:t>5. Feature 2: Extinction Risk Classification (ML on Biological Traits)</w:t>
      </w:r>
    </w:p>
    <w:p>
      <w:pPr>
        <w:pStyle w:val="Heading3"/>
      </w:pPr>
      <w:r>
        <w:rPr>
          <w:rFonts w:ascii="Calibri" w:hAnsi="Calibri"/>
          <w:color w:val="1F4E79"/>
          <w:sz w:val="26"/>
        </w:rPr>
        <w:t>5.1 What It Is</w:t>
      </w:r>
    </w:p>
    <w:p>
      <w:pPr>
        <w:spacing w:line="312" w:lineRule="auto" w:after="120" w:before="0"/>
        <w:jc w:val="left"/>
      </w:pPr>
      <w:r>
        <w:rPr>
          <w:rFonts w:ascii="Calibri" w:hAnsi="Calibri"/>
          <w:b w:val="0"/>
          <w:i w:val="0"/>
          <w:sz w:val="22"/>
        </w:rPr>
        <w:t>A machine learning model that estimates the extinction risk category (IUCN: Least Concern, Near Threatened, Vulnerable, Endangered, Critically Endangered) of a detected species, based on its biological traits, distribution data, and local threat factors. When BioRadar detects a species that has not been formally IUCN-assessed (which is common for Indian freshwater fish — many are Data Deficient), the model provides an estimated risk category with a confidence score and explanation.</w:t>
      </w:r>
    </w:p>
    <w:p>
      <w:pPr>
        <w:pStyle w:val="Heading3"/>
      </w:pPr>
      <w:r>
        <w:rPr>
          <w:rFonts w:ascii="Calibri" w:hAnsi="Calibri"/>
          <w:color w:val="1F4E79"/>
          <w:sz w:val="26"/>
        </w:rPr>
        <w:t>5.2 Why It Matters</w:t>
      </w:r>
    </w:p>
    <w:p>
      <w:pPr>
        <w:spacing w:line="312" w:lineRule="auto" w:after="120" w:before="0"/>
        <w:jc w:val="left"/>
      </w:pPr>
      <w:r>
        <w:rPr>
          <w:rFonts w:ascii="Calibri" w:hAnsi="Calibri"/>
          <w:b w:val="0"/>
          <w:i w:val="0"/>
          <w:sz w:val="22"/>
        </w:rPr>
        <w:t>India has over 2,500 fish species, but only a fraction have been formally assessed by the IUCN. Many are classified as 'Data Deficient' (DD) — meaning there is not enough information to assign a category. Research by Borgelt et al. (2022, Communications Biology) used machine learning to predict that 56% of DD species are actually threatened [2]. BioRadar's eDNA detections provide new occurrence data that can feed into these predictions. When an officer sees a species flagged as 'Estimated Endangered (model confidence: 87%)' alongside an explanation of why ('small geographic range, declining habitat quality, presence of invasive competitors'), they can prioritize conservation action even without a formal IUCN assessment.</w:t>
      </w:r>
    </w:p>
    <w:p>
      <w:pPr>
        <w:pStyle w:val="Heading3"/>
      </w:pPr>
      <w:r>
        <w:rPr>
          <w:rFonts w:ascii="Calibri" w:hAnsi="Calibri"/>
          <w:color w:val="1F4E79"/>
          <w:sz w:val="26"/>
        </w:rPr>
        <w:t>5.3 How It Works (The Science)</w:t>
      </w:r>
    </w:p>
    <w:p>
      <w:pPr>
        <w:spacing w:line="312" w:lineRule="auto" w:after="120" w:before="0"/>
        <w:jc w:val="left"/>
      </w:pPr>
      <w:r>
        <w:rPr>
          <w:rFonts w:ascii="Calibri" w:hAnsi="Calibri"/>
          <w:b w:val="0"/>
          <w:i w:val="0"/>
          <w:sz w:val="22"/>
        </w:rPr>
        <w:t>Bland et al. (2015, Conservation Biology) trained a random forest classifier on biological traits (body size, age at maturity, geographic range size, habitat specificity) and achieved 91% accuracy in predicting IUCN categories for mammals [3]. The same approach has been applied to fish by Domínguez-Domínguez et al. (2006, Diversity and Distributions), who used ecological niche models to assess extinction risk in Mexican freshwater fish. The model for BioRadar would be trained on FishBase trait data (fishbase.org, free API) and IUCN assessment data (iucnredlist.org, free API), then applied to species detected by the pipeline. The output is not a formal IUCN assessment — it is an estimate that flags species for expert review.</w:t>
      </w:r>
    </w:p>
    <w:p>
      <w:pPr>
        <w:pStyle w:val="Heading3"/>
      </w:pPr>
      <w:r>
        <w:rPr>
          <w:rFonts w:ascii="Calibri" w:hAnsi="Calibri"/>
          <w:color w:val="1F4E79"/>
          <w:sz w:val="26"/>
        </w:rPr>
        <w:t>5.4 Build Difficulty and Priority</w:t>
      </w:r>
    </w:p>
    <w:p>
      <w:pPr>
        <w:pStyle w:val="ListBullet"/>
        <w:spacing w:line="312" w:lineRule="auto" w:after="60"/>
      </w:pPr>
      <w:r>
        <w:rPr>
          <w:rFonts w:ascii="Calibri" w:hAnsi="Calibri"/>
          <w:sz w:val="22"/>
        </w:rPr>
        <w:t>**Build difficulty**: Medium (2-3 days). Random forest training is ~50 lines of scikit-learn. FishBase and IUCN data are available via free APIs. The main work is data cleaning and model validation.</w:t>
      </w:r>
    </w:p>
    <w:p>
      <w:pPr>
        <w:pStyle w:val="ListBullet"/>
        <w:spacing w:line="312" w:lineRule="auto" w:after="60"/>
      </w:pPr>
      <w:r>
        <w:rPr>
          <w:rFonts w:ascii="Calibri" w:hAnsi="Calibri"/>
          <w:sz w:val="22"/>
        </w:rPr>
        <w:t>**Priority**: HIGH-IMPACT. This addresses the 'Data Deficient' gap that limits Indian biodiversity conservation. It gives officers actionable risk assessments for species that have never been formally assessed.</w:t>
      </w:r>
    </w:p>
    <w:p>
      <w:pPr>
        <w:pStyle w:val="ListBullet"/>
        <w:spacing w:line="312" w:lineRule="auto" w:after="60"/>
      </w:pPr>
      <w:r>
        <w:rPr>
          <w:rFonts w:ascii="Calibri" w:hAnsi="Calibri"/>
          <w:sz w:val="22"/>
        </w:rPr>
        <w:t>**Impact on non-technical officers**: The officer sees: 'Tor putitora — IUCN: Endangered (formal assessment). Estimated time to local extinction: 8-15 years if current threats continue.' The model provides a timeline, not just a category.</w:t>
      </w:r>
    </w:p>
    <w:p>
      <w:pPr>
        <w:pStyle w:val="Heading2"/>
      </w:pPr>
      <w:r>
        <w:rPr>
          <w:rFonts w:ascii="Calibri" w:hAnsi="Calibri"/>
          <w:color w:val="1F4E79"/>
          <w:sz w:val="32"/>
        </w:rPr>
        <w:t>6. Feature 3: Automated Insight Generation (NLG Data-to-Text)</w:t>
      </w:r>
    </w:p>
    <w:p>
      <w:pPr>
        <w:pStyle w:val="Heading3"/>
      </w:pPr>
      <w:r>
        <w:rPr>
          <w:rFonts w:ascii="Calibri" w:hAnsi="Calibri"/>
          <w:color w:val="1F4E79"/>
          <w:sz w:val="26"/>
        </w:rPr>
        <w:t>6.1 What It Is</w:t>
      </w:r>
    </w:p>
    <w:p>
      <w:pPr>
        <w:spacing w:line="312" w:lineRule="auto" w:after="120" w:before="0"/>
        <w:jc w:val="left"/>
      </w:pPr>
      <w:r>
        <w:rPr>
          <w:rFonts w:ascii="Calibri" w:hAnsi="Calibri"/>
          <w:b w:val="0"/>
          <w:i w:val="0"/>
          <w:sz w:val="22"/>
        </w:rPr>
        <w:t>Instead of showing a forest officer a taxonomy table with columns like 'asv_id, scientific_name, confidence, read_count,' the AI generates a natural-language summary: 'This sample from the Periyar river detected 12 fish species. One invasive species was found: African catfish (Clarias gariepinus), detected at high abundance (1,876 reads, 95% confidence), suggesting an established population. One endangered species was found: golden mahseer (Tor putitora), detected at low abundance (412 reads, 89% confidence). The co-occurrence of these two species is concerning — African catfish preys on mahseer juveniles. Recommended action: dispatch a field team to verify the catfish population and assess mahseer habitat within 7 days.' This summary replaces the table for non-technical users; the table is still available via a toggle for researchers.</w:t>
      </w:r>
    </w:p>
    <w:p>
      <w:pPr>
        <w:pStyle w:val="Heading3"/>
      </w:pPr>
      <w:r>
        <w:rPr>
          <w:rFonts w:ascii="Calibri" w:hAnsi="Calibri"/>
          <w:color w:val="1F4E79"/>
          <w:sz w:val="26"/>
        </w:rPr>
        <w:t>6.2 Why It Matters</w:t>
      </w:r>
    </w:p>
    <w:p>
      <w:pPr>
        <w:spacing w:line="312" w:lineRule="auto" w:after="120" w:before="0"/>
        <w:jc w:val="left"/>
      </w:pPr>
      <w:r>
        <w:rPr>
          <w:rFonts w:ascii="Calibri" w:hAnsi="Calibri"/>
          <w:b w:val="0"/>
          <w:i w:val="0"/>
          <w:sz w:val="22"/>
        </w:rPr>
        <w:t>A taxonomy table is information. A natural-language summary with contextual reasoning and a recommended action is intelligence. The difference is what the officer can do with it. No existing eDNA platform generates automated natural-language insights — NatureMetrics delivers PDF reports written by human analysts; eDNAmap shows data tables. An AI that automatically translates raw eDNA data into officer-ready intelligence is a categorical leap in accessibility. Research on table-to-text generation (Table-GPT, TablePilot, 2024-2025) demonstrates that LLMs can reliably generate accurate natural-language summaries from structured data when grounded in the actual data (not hallucinated).</w:t>
      </w:r>
    </w:p>
    <w:p>
      <w:pPr>
        <w:pStyle w:val="Heading3"/>
      </w:pPr>
      <w:r>
        <w:rPr>
          <w:rFonts w:ascii="Calibri" w:hAnsi="Calibri"/>
          <w:color w:val="1F4E79"/>
          <w:sz w:val="26"/>
        </w:rPr>
        <w:t>6.3 How It Works</w:t>
      </w:r>
    </w:p>
    <w:p>
      <w:pPr>
        <w:spacing w:line="312" w:lineRule="auto" w:after="120" w:before="0"/>
        <w:jc w:val="left"/>
      </w:pPr>
      <w:r>
        <w:rPr>
          <w:rFonts w:ascii="Calibri" w:hAnsi="Calibri"/>
          <w:b w:val="0"/>
          <w:i w:val="0"/>
          <w:sz w:val="22"/>
        </w:rPr>
        <w:t>The system uses an LLM (Llama 3 8B, already in BioRadar's stack for RAG) with a structured prompt that includes: (a) the taxonomy CSV (the raw data), (b) the alerts JSON (flagging engine output), (c) the CBI score, (d) a knowledge base of species ecology (invasive impact, IUCN status, prey/predator relationships from FishBase and IUCN), and (e) a prompt template that instructs the LLM to generate a summary with specific sections: overview, invasive alerts, rare species alerts, recommended actions. The LLM is grounded in the actual data — it does not generate information that is not in the input. This is the same RAG architecture BioRadar already uses for natural-language querying, repurposed for data-to-text generation.</w:t>
      </w:r>
    </w:p>
    <w:p>
      <w:pPr>
        <w:pStyle w:val="Heading3"/>
      </w:pPr>
      <w:r>
        <w:rPr>
          <w:rFonts w:ascii="Calibri" w:hAnsi="Calibri"/>
          <w:color w:val="1F4E79"/>
          <w:sz w:val="26"/>
        </w:rPr>
        <w:t>6.4 Build Difficulty and Priority</w:t>
      </w:r>
    </w:p>
    <w:p>
      <w:pPr>
        <w:pStyle w:val="ListBullet"/>
        <w:spacing w:line="312" w:lineRule="auto" w:after="60"/>
      </w:pPr>
      <w:r>
        <w:rPr>
          <w:rFonts w:ascii="Calibri" w:hAnsi="Calibri"/>
          <w:sz w:val="22"/>
        </w:rPr>
        <w:t>**Build difficulty**: Easy (6 hours). The LLM and RAG infrastructure already exist. The main work is the prompt engineering and the knowledge base curation (species ecology facts).</w:t>
      </w:r>
    </w:p>
    <w:p>
      <w:pPr>
        <w:pStyle w:val="ListBullet"/>
        <w:spacing w:line="312" w:lineRule="auto" w:after="60"/>
      </w:pPr>
      <w:r>
        <w:rPr>
          <w:rFonts w:ascii="Calibri" w:hAnsi="Calibri"/>
          <w:sz w:val="22"/>
        </w:rPr>
        <w:t>**Priority**: ESSENTIAL. This is the single highest-impact, lowest-effort AI feature. It directly addresses the 'forest officer with no bioinformatics knowledge' use case.</w:t>
      </w:r>
    </w:p>
    <w:p>
      <w:pPr>
        <w:pStyle w:val="ListBullet"/>
        <w:spacing w:line="312" w:lineRule="auto" w:after="60"/>
      </w:pPr>
      <w:r>
        <w:rPr>
          <w:rFonts w:ascii="Calibri" w:hAnsi="Calibri"/>
          <w:sz w:val="22"/>
        </w:rPr>
        <w:t>**Impact on non-technical officers**: The officer reads a paragraph instead of deciphering a table. The summary includes a recommended action — the officer knows exactly what to do next.</w:t>
      </w:r>
    </w:p>
    <w:p>
      <w:pPr>
        <w:pStyle w:val="Heading2"/>
      </w:pPr>
      <w:r>
        <w:rPr>
          <w:rFonts w:ascii="Calibri" w:hAnsi="Calibri"/>
          <w:color w:val="1F4E79"/>
          <w:sz w:val="32"/>
        </w:rPr>
        <w:t>7. Feature 4: Smart Alerts with Contextual Reasoning</w:t>
      </w:r>
    </w:p>
    <w:p>
      <w:pPr>
        <w:pStyle w:val="Heading3"/>
      </w:pPr>
      <w:r>
        <w:rPr>
          <w:rFonts w:ascii="Calibri" w:hAnsi="Calibri"/>
          <w:color w:val="1F4E79"/>
          <w:sz w:val="26"/>
        </w:rPr>
        <w:t>7.1 What It Is</w:t>
      </w:r>
    </w:p>
    <w:p>
      <w:pPr>
        <w:spacing w:line="312" w:lineRule="auto" w:after="120" w:before="0"/>
        <w:jc w:val="left"/>
      </w:pPr>
      <w:r>
        <w:rPr>
          <w:rFonts w:ascii="Calibri" w:hAnsi="Calibri"/>
          <w:b w:val="0"/>
          <w:i w:val="0"/>
          <w:sz w:val="22"/>
        </w:rPr>
        <w:t>Beyond the current 'invasive detected' flag, a smart alert that explains the ecological context and urgency: 'African catfish (Clarias gariepinus) detected at Site 14. This species is banned for aquaculture in India since 2000 (under the Wildlife Protection Act). It preys on native fish eggs and juveniles. In this river, it directly threatens the endangered golden mahseer (Tor putitora), which was also detected at this site. The high read count (1,876) suggests an established breeding population. If left unchecked, the mahseer population could collapse within 3-5 years. Recommended action: dispatch a field verification team within 7 days. If confirmed, initiate eradication protocols under Section 11 of the Wildlife Protection Act.' This is not just an alert — it is a briefing.</w:t>
      </w:r>
    </w:p>
    <w:p>
      <w:pPr>
        <w:pStyle w:val="Heading3"/>
      </w:pPr>
      <w:r>
        <w:rPr>
          <w:rFonts w:ascii="Calibri" w:hAnsi="Calibri"/>
          <w:color w:val="1F4E79"/>
          <w:sz w:val="26"/>
        </w:rPr>
        <w:t>7.2 Why It Matters</w:t>
      </w:r>
    </w:p>
    <w:p>
      <w:pPr>
        <w:spacing w:line="312" w:lineRule="auto" w:after="120" w:before="0"/>
        <w:jc w:val="left"/>
      </w:pPr>
      <w:r>
        <w:rPr>
          <w:rFonts w:ascii="Calibri" w:hAnsi="Calibri"/>
          <w:b w:val="0"/>
          <w:i w:val="0"/>
          <w:sz w:val="22"/>
        </w:rPr>
        <w:t>A flag that says 'INVASIVE' tells the officer WHAT was detected but not WHY it matters or WHAT to do. A smart alert that includes the legal basis (Wildlife Protection Act), the ecological impact (preys on mahseer), the urgency (established population, 3-5 year timeline), and the recommended action (field verification, eradication protocol, specific legal section) is a complete decision package. The officer can act immediately without consulting a biologist or a legal advisor. This is the difference between a monitoring tool and a decision-support system.</w:t>
      </w:r>
    </w:p>
    <w:p>
      <w:pPr>
        <w:pStyle w:val="Heading3"/>
      </w:pPr>
      <w:r>
        <w:rPr>
          <w:rFonts w:ascii="Calibri" w:hAnsi="Calibri"/>
          <w:color w:val="1F4E79"/>
          <w:sz w:val="26"/>
        </w:rPr>
        <w:t>7.3 How It Works</w:t>
      </w:r>
    </w:p>
    <w:p>
      <w:pPr>
        <w:spacing w:line="312" w:lineRule="auto" w:after="120" w:before="0"/>
        <w:jc w:val="left"/>
      </w:pPr>
      <w:r>
        <w:rPr>
          <w:rFonts w:ascii="Calibri" w:hAnsi="Calibri"/>
          <w:b w:val="0"/>
          <w:i w:val="0"/>
          <w:sz w:val="22"/>
        </w:rPr>
        <w:t>The system uses a knowledge graph of species ecology and Indian biodiversity law. Each species in the reference database is annotated with: legal status (WLPA schedule, NBA IAS listing), ecological impact (prey items, competitors, habitat modifiers), and recommended actions (field verification, eradication, habitat protection). When the flagging engine detects an invasive species, it queries the knowledge graph for the species' context and generates a structured alert using the LLM. The alert is grounded in verified ecological and legal data — it does not hallucinate. The knowledge graph is built from FishBase, IUCN, NBA IAS list, and the Wildlife Protection Act schedules.</w:t>
      </w:r>
    </w:p>
    <w:p>
      <w:pPr>
        <w:pStyle w:val="Heading3"/>
      </w:pPr>
      <w:r>
        <w:rPr>
          <w:rFonts w:ascii="Calibri" w:hAnsi="Calibri"/>
          <w:color w:val="1F4E79"/>
          <w:sz w:val="26"/>
        </w:rPr>
        <w:t>7.4 Build Difficulty and Priority</w:t>
      </w:r>
    </w:p>
    <w:p>
      <w:pPr>
        <w:pStyle w:val="ListBullet"/>
        <w:spacing w:line="312" w:lineRule="auto" w:after="60"/>
      </w:pPr>
      <w:r>
        <w:rPr>
          <w:rFonts w:ascii="Calibri" w:hAnsi="Calibri"/>
          <w:sz w:val="22"/>
        </w:rPr>
        <w:t>**Build difficulty**: Medium (10 hours — 4 hours for the knowledge graph, 6 hours for the LLM prompt engineering).</w:t>
      </w:r>
    </w:p>
    <w:p>
      <w:pPr>
        <w:pStyle w:val="ListBullet"/>
        <w:spacing w:line="312" w:lineRule="auto" w:after="60"/>
      </w:pPr>
      <w:r>
        <w:rPr>
          <w:rFonts w:ascii="Calibri" w:hAnsi="Calibri"/>
          <w:sz w:val="22"/>
        </w:rPr>
        <w:t>**Priority**: ESSENTIAL. This transforms alerts from 'data points' to 'briefings.' It is the feature that makes BioRadar a decision-support system, not a data display.</w:t>
      </w:r>
    </w:p>
    <w:p>
      <w:pPr>
        <w:pStyle w:val="ListBullet"/>
        <w:spacing w:line="312" w:lineRule="auto" w:after="60"/>
      </w:pPr>
      <w:r>
        <w:rPr>
          <w:rFonts w:ascii="Calibri" w:hAnsi="Calibri"/>
          <w:sz w:val="22"/>
        </w:rPr>
        <w:t>**Impact on non-technical officers**: The officer reads the alert and knows exactly: what was found, why it matters, what law applies, and what to do. No biologist consultation needed for the initial response.</w:t>
      </w:r>
    </w:p>
    <w:p>
      <w:pPr>
        <w:pStyle w:val="Heading2"/>
      </w:pPr>
      <w:r>
        <w:rPr>
          <w:rFonts w:ascii="Calibri" w:hAnsi="Calibri"/>
          <w:color w:val="1F4E79"/>
          <w:sz w:val="32"/>
        </w:rPr>
        <w:t>8. Feature 5: Computer Vision Field Verification (TFLite)</w:t>
      </w:r>
    </w:p>
    <w:p>
      <w:pPr>
        <w:pStyle w:val="Heading3"/>
      </w:pPr>
      <w:r>
        <w:rPr>
          <w:rFonts w:ascii="Calibri" w:hAnsi="Calibri"/>
          <w:color w:val="1F4E79"/>
          <w:sz w:val="26"/>
        </w:rPr>
        <w:t>8.1 What It Is</w:t>
      </w:r>
    </w:p>
    <w:p>
      <w:pPr>
        <w:spacing w:line="312" w:lineRule="auto" w:after="120" w:before="0"/>
        <w:jc w:val="left"/>
      </w:pPr>
      <w:r>
        <w:rPr>
          <w:rFonts w:ascii="Calibri" w:hAnsi="Calibri"/>
          <w:b w:val="0"/>
          <w:i w:val="0"/>
          <w:sz w:val="22"/>
        </w:rPr>
        <w:t>When a forest officer goes to verify a BioRadar alert, they take a photo of the suspected species with their phone. An on-device AI model (TensorFlow Lite, running offline) identifies the species in real-time and confirms or denies the eDNA detection. The officer does not need to send the sample to a lab or consult a fish taxonomist — the phone tells them 'This is Clarias gariepinus (African catfish). Confirmation: 94% match. BioRadar alert verified.'</w:t>
      </w:r>
    </w:p>
    <w:p>
      <w:pPr>
        <w:pStyle w:val="Heading3"/>
      </w:pPr>
      <w:r>
        <w:rPr>
          <w:rFonts w:ascii="Calibri" w:hAnsi="Calibri"/>
          <w:color w:val="1F4E79"/>
          <w:sz w:val="26"/>
        </w:rPr>
        <w:t>8.2 Why It Matters</w:t>
      </w:r>
    </w:p>
    <w:p>
      <w:pPr>
        <w:spacing w:line="312" w:lineRule="auto" w:after="120" w:before="0"/>
        <w:jc w:val="left"/>
      </w:pPr>
      <w:r>
        <w:rPr>
          <w:rFonts w:ascii="Calibri" w:hAnsi="Calibri"/>
          <w:b w:val="0"/>
          <w:i w:val="0"/>
          <w:sz w:val="22"/>
        </w:rPr>
        <w:t>Field verification is the bottleneck in the invasive species response chain. eDNA tells you WHAT is there, but field verification confirms it is actually there (eDNA can have false positives from contamination or downstream transport). Currently, field verification requires a trained biologist who can identify the species visually — a resource most forest departments do not have at every field station. A phone-based CV model democratizes field verification: any officer with a smartphone can confirm an eDNA detection in seconds. iNaturalist's computer vision auto-ID, trained on 50+ million observations, demonstrates that this is technically feasible — but iNaturalist's model covers all taxa globally and is less accurate for Indian freshwater fish specifically. A BioRadar-specific model, trained on Indian fish species photos, would be more targeted and accurate.</w:t>
      </w:r>
    </w:p>
    <w:p>
      <w:pPr>
        <w:pStyle w:val="Heading3"/>
      </w:pPr>
      <w:r>
        <w:rPr>
          <w:rFonts w:ascii="Calibri" w:hAnsi="Calibri"/>
          <w:color w:val="1F4E79"/>
          <w:sz w:val="26"/>
        </w:rPr>
        <w:t>8.3 How It Works</w:t>
      </w:r>
    </w:p>
    <w:p>
      <w:pPr>
        <w:spacing w:line="312" w:lineRule="auto" w:after="120" w:before="0"/>
        <w:jc w:val="left"/>
      </w:pPr>
      <w:r>
        <w:rPr>
          <w:rFonts w:ascii="Calibri" w:hAnsi="Calibri"/>
          <w:b w:val="0"/>
          <w:i w:val="0"/>
          <w:sz w:val="22"/>
        </w:rPr>
        <w:t>The model is a MobileNetV3 or EfficientNet-Lite convolutional neural network, fine-tuned on photos of Indian freshwater fish (sourced from FishBase, iNaturalist, and the India Biodiversity Portal). The trained model is quantized to int8 and exported as a .tflite file (~5 MB), which runs on-device via TensorFlow Lite. The model is bundled inside the BioRadar PWA (or a companion Android app). When the officer takes a photo, the model runs inference in under 500ms and returns the top-3 species matches with confidence scores. If the top match matches the eDNA detection, the alert is auto-verified. The verification record (photo, CV prediction, GPS, timestamp) is stored in the chain-of-custody ledger.</w:t>
      </w:r>
    </w:p>
    <w:p>
      <w:pPr>
        <w:pStyle w:val="Heading3"/>
      </w:pPr>
      <w:r>
        <w:rPr>
          <w:rFonts w:ascii="Calibri" w:hAnsi="Calibri"/>
          <w:color w:val="1F4E79"/>
          <w:sz w:val="26"/>
        </w:rPr>
        <w:t>8.4 Build Difficulty and Priority</w:t>
      </w:r>
    </w:p>
    <w:p>
      <w:pPr>
        <w:pStyle w:val="ListBullet"/>
        <w:spacing w:line="312" w:lineRule="auto" w:after="60"/>
      </w:pPr>
      <w:r>
        <w:rPr>
          <w:rFonts w:ascii="Calibri" w:hAnsi="Calibri"/>
          <w:sz w:val="22"/>
        </w:rPr>
        <w:t>**Build difficulty**: Hard (5-7 days). Requires collecting and labelling fish photos, training a CNN, and integrating TFLite into the mobile app. For the hackathon, a pre-trained iNaturalist model could be used as a fallback.</w:t>
      </w:r>
    </w:p>
    <w:p>
      <w:pPr>
        <w:pStyle w:val="ListBullet"/>
        <w:spacing w:line="312" w:lineRule="auto" w:after="60"/>
      </w:pPr>
      <w:r>
        <w:rPr>
          <w:rFonts w:ascii="Calibri" w:hAnsi="Calibri"/>
          <w:sz w:val="22"/>
        </w:rPr>
        <w:t>**Priority**: HIGH-IMPACT for post-hackathon. For the hackathon demo, this can be shown as a prototype with a few pre-selected photos.</w:t>
      </w:r>
    </w:p>
    <w:p>
      <w:pPr>
        <w:pStyle w:val="ListBullet"/>
        <w:spacing w:line="312" w:lineRule="auto" w:after="60"/>
      </w:pPr>
      <w:r>
        <w:rPr>
          <w:rFonts w:ascii="Calibri" w:hAnsi="Calibri"/>
          <w:sz w:val="22"/>
        </w:rPr>
        <w:t>**Impact on non-technical officers**: The officer becomes a field verifier without needing taxonomy training. The phone confirms the eDNA detection, and the verification is logged immutably.</w:t>
      </w:r>
    </w:p>
    <w:p>
      <w:pPr>
        <w:pStyle w:val="Heading2"/>
      </w:pPr>
      <w:r>
        <w:rPr>
          <w:rFonts w:ascii="Calibri" w:hAnsi="Calibri"/>
          <w:color w:val="1F4E79"/>
          <w:sz w:val="32"/>
        </w:rPr>
        <w:t>9. Feature 6: AI-Powered Sampling Recommendations</w:t>
      </w:r>
    </w:p>
    <w:p>
      <w:pPr>
        <w:pStyle w:val="Heading3"/>
      </w:pPr>
      <w:r>
        <w:rPr>
          <w:rFonts w:ascii="Calibri" w:hAnsi="Calibri"/>
          <w:color w:val="1F4E79"/>
          <w:sz w:val="26"/>
        </w:rPr>
        <w:t>9.1 What It Is</w:t>
      </w:r>
    </w:p>
    <w:p>
      <w:pPr>
        <w:spacing w:line="312" w:lineRule="auto" w:after="120" w:before="0"/>
        <w:jc w:val="left"/>
      </w:pPr>
      <w:r>
        <w:rPr>
          <w:rFonts w:ascii="Calibri" w:hAnsi="Calibri"/>
          <w:b w:val="0"/>
          <w:i w:val="0"/>
          <w:sz w:val="22"/>
        </w:rPr>
        <w:t>Instead of the officer deciding where to sample next (which is usually ad hoc — 'let us try the bridge downstream'), an AI recommends sampling locations based on: (a) previous BioRadar detections (where invasives have been found), (b) the spread prediction model (where invasives are likely to spread), (c) river flow patterns (downstream of known populations), and (d) seasonal factors (spawning seasons, monsoon effects on eDNA dispersal). The output is a map with recommended sampling points, each annotated with: 'Sample here next month. 78% probability of detecting invasive catfish (based on spread model). Priority: HIGH.'</w:t>
      </w:r>
    </w:p>
    <w:p>
      <w:pPr>
        <w:pStyle w:val="Heading3"/>
      </w:pPr>
      <w:r>
        <w:rPr>
          <w:rFonts w:ascii="Calibri" w:hAnsi="Calibri"/>
          <w:color w:val="1F4E79"/>
          <w:sz w:val="26"/>
        </w:rPr>
        <w:t>9.2 Why It Matters</w:t>
      </w:r>
    </w:p>
    <w:p>
      <w:pPr>
        <w:spacing w:line="312" w:lineRule="auto" w:after="120" w:before="0"/>
        <w:jc w:val="left"/>
      </w:pPr>
      <w:r>
        <w:rPr>
          <w:rFonts w:ascii="Calibri" w:hAnsi="Calibri"/>
          <w:b w:val="0"/>
          <w:i w:val="0"/>
          <w:sz w:val="22"/>
        </w:rPr>
        <w:t>eDNA sampling is expensive (each sample costs ₹5,000-15,000 for sequencing). Sampling the wrong location wastes money and misses the invasive. An AI that recommends the optimal sampling location — the location most likely to yield actionable detections — makes every sampling rupee go further. This is the difference between random surveillance and targeted surveillance. No existing eDNA platform offers sampling recommendations; this is a genuinely novel feature.</w:t>
      </w:r>
    </w:p>
    <w:p>
      <w:pPr>
        <w:pStyle w:val="Heading3"/>
      </w:pPr>
      <w:r>
        <w:rPr>
          <w:rFonts w:ascii="Calibri" w:hAnsi="Calibri"/>
          <w:color w:val="1F4E79"/>
          <w:sz w:val="26"/>
        </w:rPr>
        <w:t>9.3 How It Works</w:t>
      </w:r>
    </w:p>
    <w:p>
      <w:pPr>
        <w:spacing w:line="312" w:lineRule="auto" w:after="120" w:before="0"/>
        <w:jc w:val="left"/>
      </w:pPr>
      <w:r>
        <w:rPr>
          <w:rFonts w:ascii="Calibri" w:hAnsi="Calibri"/>
          <w:b w:val="0"/>
          <w:i w:val="0"/>
          <w:sz w:val="22"/>
        </w:rPr>
        <w:t>The recommendation engine combines the MaxEnt spread prediction (Feature 1) with an occupancy model (eDNAoccupancy, Dorazio &amp; Erickson 2018 [4]) that estimates detection probability based on previous sampling results. The engine calculates, for each potential sampling location on the river network, the probability of detecting each target species. The top-5 locations, ranked by detection probability, are recommended. The engine also factors in accessibility (road proximity, terrain) and cost (distance from the field station). The output is a ranked list of sampling recommendations with justifications.</w:t>
      </w:r>
    </w:p>
    <w:p>
      <w:pPr>
        <w:pStyle w:val="Heading3"/>
      </w:pPr>
      <w:r>
        <w:rPr>
          <w:rFonts w:ascii="Calibri" w:hAnsi="Calibri"/>
          <w:color w:val="1F4E79"/>
          <w:sz w:val="26"/>
        </w:rPr>
        <w:t>9.4 Build Difficulty and Priority</w:t>
      </w:r>
    </w:p>
    <w:p>
      <w:pPr>
        <w:pStyle w:val="ListBullet"/>
        <w:spacing w:line="312" w:lineRule="auto" w:after="60"/>
      </w:pPr>
      <w:r>
        <w:rPr>
          <w:rFonts w:ascii="Calibri" w:hAnsi="Calibri"/>
          <w:sz w:val="22"/>
        </w:rPr>
        <w:t>**Build difficulty**: Hard (5-7 days). Requires the spread prediction model (Feature 1) as a prerequisite, plus the occupancy model and the optimization algorithm.</w:t>
      </w:r>
    </w:p>
    <w:p>
      <w:pPr>
        <w:pStyle w:val="ListBullet"/>
        <w:spacing w:line="312" w:lineRule="auto" w:after="60"/>
      </w:pPr>
      <w:r>
        <w:rPr>
          <w:rFonts w:ascii="Calibri" w:hAnsi="Calibri"/>
          <w:sz w:val="22"/>
        </w:rPr>
        <w:t>**Priority**: HIGH-IMPACT for post-hackathon. This is a feature that no competitor has and that directly addresses the 'where should I sample?' question.</w:t>
      </w:r>
    </w:p>
    <w:p>
      <w:pPr>
        <w:pStyle w:val="ListBullet"/>
        <w:spacing w:line="312" w:lineRule="auto" w:after="60"/>
      </w:pPr>
      <w:r>
        <w:rPr>
          <w:rFonts w:ascii="Calibri" w:hAnsi="Calibri"/>
          <w:sz w:val="22"/>
        </w:rPr>
        <w:t>**Impact on non-technical officers**: The officer does not need to understand occupancy modelling. They see: 'Sample at Site X next month. 78% chance of finding the invasive.'</w:t>
      </w:r>
    </w:p>
    <w:p>
      <w:pPr>
        <w:pStyle w:val="Heading2"/>
      </w:pPr>
      <w:r>
        <w:rPr>
          <w:rFonts w:ascii="Calibri" w:hAnsi="Calibri"/>
          <w:color w:val="1F4E79"/>
          <w:sz w:val="32"/>
        </w:rPr>
        <w:t>10. Feature 7: Explainable AI for Conservation Decisions (SHAP + ProtoPNet)</w:t>
      </w:r>
    </w:p>
    <w:p>
      <w:pPr>
        <w:pStyle w:val="Heading3"/>
      </w:pPr>
      <w:r>
        <w:rPr>
          <w:rFonts w:ascii="Calibri" w:hAnsi="Calibri"/>
          <w:color w:val="1F4E79"/>
          <w:sz w:val="26"/>
        </w:rPr>
        <w:t>10.1 What It Is</w:t>
      </w:r>
    </w:p>
    <w:p>
      <w:pPr>
        <w:spacing w:line="312" w:lineRule="auto" w:after="120" w:before="0"/>
        <w:jc w:val="left"/>
      </w:pPr>
      <w:r>
        <w:rPr>
          <w:rFonts w:ascii="Calibri" w:hAnsi="Calibri"/>
          <w:b w:val="0"/>
          <w:i w:val="0"/>
          <w:sz w:val="22"/>
        </w:rPr>
        <w:t>When the AI recommends an action — 'eradicate this population,' 'protect this habitat,' 'sample at this location' — the officer needs to understand WHY. Explainable AI (XAI) provides a human-readable explanation for every AI recommendation. For the spread prediction model: 'The invasive catfish is predicted to spread downstream because: water temperature in the downstream stretch is 24-28°C (within the catfish's tolerance range), the river flow rate is 0.5 m/s (sufficient for downstream dispersal within 30 days), and no physical barriers exist between the current detection site and the predicted spread area.' For the extinction risk model: 'Tor putitora is estimated as Endangered because: its geographic range in this river is less than 5 km (restricted distribution), water quality has declined (BOD increased 40% in 2 years), and an invasive predator (African catfish) was detected at the same site.'</w:t>
      </w:r>
    </w:p>
    <w:p>
      <w:pPr>
        <w:pStyle w:val="Heading3"/>
      </w:pPr>
      <w:r>
        <w:rPr>
          <w:rFonts w:ascii="Calibri" w:hAnsi="Calibri"/>
          <w:color w:val="1F4E79"/>
          <w:sz w:val="26"/>
        </w:rPr>
        <w:t>10.2 Why It Matters</w:t>
      </w:r>
    </w:p>
    <w:p>
      <w:pPr>
        <w:spacing w:line="312" w:lineRule="auto" w:after="120" w:before="0"/>
        <w:jc w:val="left"/>
      </w:pPr>
      <w:r>
        <w:rPr>
          <w:rFonts w:ascii="Calibri" w:hAnsi="Calibri"/>
          <w:b w:val="0"/>
          <w:i w:val="0"/>
          <w:sz w:val="22"/>
        </w:rPr>
        <w:t>Conservation decisions have legal and financial consequences. If an officer orders an eradication based on an AI recommendation, and the recommendation was wrong, the officer (and the department) is legally liable. An AI that says 'eradicate this' without explaining why is not trustworthy enough to act on. An AI that says 'eradicate this BECAUSE [3 specific reasons with data]' is defensible. The Wildlife Protection Act and the Biological Diversity Act require justifications for conservation actions — XAI provides those justifications automatically. Waggoner and Donnelly (2025, Scientific Reports) demonstrated that interpretable deep learning models (ProtoPNet) can achieve high accuracy on eDNA species identification while remaining transparent about their reasoning [5].</w:t>
      </w:r>
    </w:p>
    <w:p>
      <w:pPr>
        <w:pStyle w:val="Heading3"/>
      </w:pPr>
      <w:r>
        <w:rPr>
          <w:rFonts w:ascii="Calibri" w:hAnsi="Calibri"/>
          <w:color w:val="1F4E79"/>
          <w:sz w:val="26"/>
        </w:rPr>
        <w:t>10.3 How It Works</w:t>
      </w:r>
    </w:p>
    <w:p>
      <w:pPr>
        <w:spacing w:line="312" w:lineRule="auto" w:after="120" w:before="0"/>
        <w:jc w:val="left"/>
      </w:pPr>
      <w:r>
        <w:rPr>
          <w:rFonts w:ascii="Calibri" w:hAnsi="Calibri"/>
          <w:b w:val="0"/>
          <w:i w:val="0"/>
          <w:sz w:val="22"/>
        </w:rPr>
        <w:t>SHAP (SHapley Additive exPlanations) values are applied to the random forest extinction risk model (Feature 2) to identify which input features (geographic range, body size, threat factors) contributed most to the predicted risk category. For the MaxEnt spread model, the contribution of each environmental variable (temperature, flow, barriers) to the predicted spread is reported. The LLM (already in the stack) translates these technical explanations into plain language for the officer. The output is not just a prediction but a prediction with a justification — every recommendation ships with its reasoning.</w:t>
      </w:r>
    </w:p>
    <w:p>
      <w:pPr>
        <w:pStyle w:val="Heading3"/>
      </w:pPr>
      <w:r>
        <w:rPr>
          <w:rFonts w:ascii="Calibri" w:hAnsi="Calibri"/>
          <w:color w:val="1F4E79"/>
          <w:sz w:val="26"/>
        </w:rPr>
        <w:t>10.4 Build Difficulty and Priority</w:t>
      </w:r>
    </w:p>
    <w:p>
      <w:pPr>
        <w:pStyle w:val="ListBullet"/>
        <w:spacing w:line="312" w:lineRule="auto" w:after="60"/>
      </w:pPr>
      <w:r>
        <w:rPr>
          <w:rFonts w:ascii="Calibri" w:hAnsi="Calibri"/>
          <w:sz w:val="22"/>
        </w:rPr>
        <w:t>**Build difficulty**: Easy for SHAP (4 hours — the shap Python library is well-documented). Medium for ProtoPNet (2-3 days — requires model retraining with the interpretable architecture).</w:t>
      </w:r>
    </w:p>
    <w:p>
      <w:pPr>
        <w:pStyle w:val="ListBullet"/>
        <w:spacing w:line="312" w:lineRule="auto" w:after="60"/>
      </w:pPr>
      <w:r>
        <w:rPr>
          <w:rFonts w:ascii="Calibri" w:hAnsi="Calibri"/>
          <w:sz w:val="22"/>
        </w:rPr>
        <w:t>**Priority**: ESSENTIAL. Every AI recommendation that triggers a conservation action MUST be explainable. This is not optional — it is a legal and ethical requirement.</w:t>
      </w:r>
    </w:p>
    <w:p>
      <w:pPr>
        <w:pStyle w:val="ListBullet"/>
        <w:spacing w:line="312" w:lineRule="auto" w:after="60"/>
      </w:pPr>
      <w:r>
        <w:rPr>
          <w:rFonts w:ascii="Calibri" w:hAnsi="Calibri"/>
          <w:sz w:val="22"/>
        </w:rPr>
        <w:t>**Impact on non-technical officers**: The officer does not need to understand SHAP values. They read: 'Predicted Endangered because: small range (5 km), declining water quality, invasive predator present.' The explanation builds trust.</w:t>
      </w:r>
    </w:p>
    <w:p>
      <w:pPr>
        <w:pStyle w:val="Heading2"/>
      </w:pPr>
      <w:r>
        <w:rPr>
          <w:rFonts w:ascii="Calibri" w:hAnsi="Calibri"/>
          <w:color w:val="1F4E79"/>
          <w:sz w:val="32"/>
        </w:rPr>
        <w:t>11. Feature Priority Matrix</w:t>
      </w:r>
    </w:p>
    <w:tbl>
      <w:tblPr>
        <w:tblStyle w:val="LightGrid-Accent1"/>
        <w:tblW w:type="auto" w:w="0"/>
        <w:jc w:val="center"/>
        <w:tblLook w:firstColumn="1" w:firstRow="1" w:lastColumn="0" w:lastRow="0" w:noHBand="0" w:noVBand="1" w:val="04A0"/>
      </w:tblPr>
      <w:tblGrid>
        <w:gridCol w:w="1871"/>
        <w:gridCol w:w="1871"/>
        <w:gridCol w:w="1871"/>
        <w:gridCol w:w="1871"/>
        <w:gridCol w:w="1871"/>
      </w:tblGrid>
      <w:tr>
        <w:tc>
          <w:tcPr>
            <w:tcW w:type="dxa" w:w="2268"/>
            <w:shd w:val="clear" w:color="auto" w:fill="1F4E79"/>
            <w:vAlign w:val="center"/>
          </w:tcPr>
          <w:p>
            <w:pPr>
              <w:jc w:val="left"/>
            </w:pPr>
            <w:r/>
            <w:r>
              <w:rPr>
                <w:rFonts w:ascii="Calibri" w:hAnsi="Calibri"/>
                <w:b/>
                <w:color w:val="FFFFFF"/>
                <w:sz w:val="20"/>
              </w:rPr>
              <w:t>Feature</w:t>
            </w:r>
          </w:p>
        </w:tc>
        <w:tc>
          <w:tcPr>
            <w:tcW w:type="dxa" w:w="1417"/>
            <w:shd w:val="clear" w:color="auto" w:fill="1F4E79"/>
            <w:vAlign w:val="center"/>
          </w:tcPr>
          <w:p>
            <w:pPr>
              <w:jc w:val="left"/>
            </w:pPr>
            <w:r/>
            <w:r>
              <w:rPr>
                <w:rFonts w:ascii="Calibri" w:hAnsi="Calibri"/>
                <w:b/>
                <w:color w:val="FFFFFF"/>
                <w:sz w:val="20"/>
              </w:rPr>
              <w:t>Difficulty</w:t>
            </w:r>
          </w:p>
        </w:tc>
        <w:tc>
          <w:tcPr>
            <w:tcW w:type="dxa" w:w="1134"/>
            <w:shd w:val="clear" w:color="auto" w:fill="1F4E79"/>
            <w:vAlign w:val="center"/>
          </w:tcPr>
          <w:p>
            <w:pPr>
              <w:jc w:val="left"/>
            </w:pPr>
            <w:r/>
            <w:r>
              <w:rPr>
                <w:rFonts w:ascii="Calibri" w:hAnsi="Calibri"/>
                <w:b/>
                <w:color w:val="FFFFFF"/>
                <w:sz w:val="20"/>
              </w:rPr>
              <w:t>Impact</w:t>
            </w:r>
          </w:p>
        </w:tc>
        <w:tc>
          <w:tcPr>
            <w:tcW w:type="dxa" w:w="1134"/>
            <w:shd w:val="clear" w:color="auto" w:fill="1F4E79"/>
            <w:vAlign w:val="center"/>
          </w:tcPr>
          <w:p>
            <w:pPr>
              <w:jc w:val="left"/>
            </w:pPr>
            <w:r/>
            <w:r>
              <w:rPr>
                <w:rFonts w:ascii="Calibri" w:hAnsi="Calibri"/>
                <w:b/>
                <w:color w:val="FFFFFF"/>
                <w:sz w:val="20"/>
              </w:rPr>
              <w:t>Priority</w:t>
            </w:r>
          </w:p>
        </w:tc>
        <w:tc>
          <w:tcPr>
            <w:tcW w:type="dxa" w:w="1701"/>
            <w:shd w:val="clear" w:color="auto" w:fill="1F4E79"/>
            <w:vAlign w:val="center"/>
          </w:tcPr>
          <w:p>
            <w:pPr>
              <w:jc w:val="left"/>
            </w:pPr>
            <w:r/>
            <w:r>
              <w:rPr>
                <w:rFonts w:ascii="Calibri" w:hAnsi="Calibri"/>
                <w:b/>
                <w:color w:val="FFFFFF"/>
                <w:sz w:val="20"/>
              </w:rPr>
              <w:t>Phase</w:t>
            </w:r>
          </w:p>
        </w:tc>
      </w:tr>
      <w:tr>
        <w:tc>
          <w:tcPr>
            <w:tcW w:type="dxa" w:w="2268"/>
            <w:vAlign w:val="top"/>
          </w:tcPr>
          <w:p>
            <w:pPr>
              <w:spacing w:after="40"/>
            </w:pPr>
            <w:r/>
            <w:r>
              <w:rPr>
                <w:rFonts w:ascii="Calibri" w:hAnsi="Calibri"/>
                <w:sz w:val="19"/>
              </w:rPr>
              <w:t>Automated Insight Generation (NLG)</w:t>
            </w:r>
          </w:p>
        </w:tc>
        <w:tc>
          <w:tcPr>
            <w:tcW w:type="dxa" w:w="1417"/>
            <w:vAlign w:val="top"/>
          </w:tcPr>
          <w:p>
            <w:pPr>
              <w:spacing w:after="40"/>
            </w:pPr>
            <w:r/>
            <w:r>
              <w:rPr>
                <w:rFonts w:ascii="Calibri" w:hAnsi="Calibri"/>
                <w:sz w:val="19"/>
              </w:rPr>
              <w:t>Easy (6h)</w:t>
            </w:r>
          </w:p>
        </w:tc>
        <w:tc>
          <w:tcPr>
            <w:tcW w:type="dxa" w:w="1134"/>
            <w:vAlign w:val="top"/>
          </w:tcPr>
          <w:p>
            <w:pPr>
              <w:spacing w:after="40"/>
            </w:pPr>
            <w:r/>
            <w:r>
              <w:rPr>
                <w:rFonts w:ascii="Calibri" w:hAnsi="Calibri"/>
                <w:sz w:val="19"/>
              </w:rPr>
              <w:t>VERY HIGH</w:t>
            </w:r>
          </w:p>
        </w:tc>
        <w:tc>
          <w:tcPr>
            <w:tcW w:type="dxa" w:w="1134"/>
            <w:vAlign w:val="top"/>
          </w:tcPr>
          <w:p>
            <w:pPr>
              <w:spacing w:after="40"/>
            </w:pPr>
            <w:r/>
            <w:r>
              <w:rPr>
                <w:rFonts w:ascii="Calibri" w:hAnsi="Calibri"/>
                <w:sz w:val="19"/>
              </w:rPr>
              <w:t>ESSENTIAL</w:t>
            </w:r>
          </w:p>
        </w:tc>
        <w:tc>
          <w:tcPr>
            <w:tcW w:type="dxa" w:w="1701"/>
            <w:vAlign w:val="top"/>
          </w:tcPr>
          <w:p>
            <w:pPr>
              <w:spacing w:after="40"/>
            </w:pPr>
            <w:r/>
            <w:r>
              <w:rPr>
                <w:rFonts w:ascii="Calibri" w:hAnsi="Calibri"/>
                <w:sz w:val="19"/>
              </w:rPr>
              <w:t>Phase 1 — build now</w:t>
            </w:r>
          </w:p>
        </w:tc>
      </w:tr>
      <w:tr>
        <w:tc>
          <w:tcPr>
            <w:tcW w:type="dxa" w:w="2268"/>
            <w:vAlign w:val="top"/>
            <w:shd w:val="clear" w:color="auto" w:fill="F2F7FC"/>
          </w:tcPr>
          <w:p>
            <w:pPr>
              <w:spacing w:after="40"/>
            </w:pPr>
            <w:r/>
            <w:r>
              <w:rPr>
                <w:rFonts w:ascii="Calibri" w:hAnsi="Calibri"/>
                <w:sz w:val="19"/>
              </w:rPr>
              <w:t>Smart Alerts with Contextual Reasoning</w:t>
            </w:r>
          </w:p>
        </w:tc>
        <w:tc>
          <w:tcPr>
            <w:tcW w:type="dxa" w:w="1417"/>
            <w:vAlign w:val="top"/>
            <w:shd w:val="clear" w:color="auto" w:fill="F2F7FC"/>
          </w:tcPr>
          <w:p>
            <w:pPr>
              <w:spacing w:after="40"/>
            </w:pPr>
            <w:r/>
            <w:r>
              <w:rPr>
                <w:rFonts w:ascii="Calibri" w:hAnsi="Calibri"/>
                <w:sz w:val="19"/>
              </w:rPr>
              <w:t>Medium (10h)</w:t>
            </w:r>
          </w:p>
        </w:tc>
        <w:tc>
          <w:tcPr>
            <w:tcW w:type="dxa" w:w="1134"/>
            <w:vAlign w:val="top"/>
            <w:shd w:val="clear" w:color="auto" w:fill="F2F7FC"/>
          </w:tcPr>
          <w:p>
            <w:pPr>
              <w:spacing w:after="40"/>
            </w:pPr>
            <w:r/>
            <w:r>
              <w:rPr>
                <w:rFonts w:ascii="Calibri" w:hAnsi="Calibri"/>
                <w:sz w:val="19"/>
              </w:rPr>
              <w:t>VERY HIGH</w:t>
            </w:r>
          </w:p>
        </w:tc>
        <w:tc>
          <w:tcPr>
            <w:tcW w:type="dxa" w:w="1134"/>
            <w:vAlign w:val="top"/>
            <w:shd w:val="clear" w:color="auto" w:fill="F2F7FC"/>
          </w:tcPr>
          <w:p>
            <w:pPr>
              <w:spacing w:after="40"/>
            </w:pPr>
            <w:r/>
            <w:r>
              <w:rPr>
                <w:rFonts w:ascii="Calibri" w:hAnsi="Calibri"/>
                <w:sz w:val="19"/>
              </w:rPr>
              <w:t>ESSENTIAL</w:t>
            </w:r>
          </w:p>
        </w:tc>
        <w:tc>
          <w:tcPr>
            <w:tcW w:type="dxa" w:w="1701"/>
            <w:vAlign w:val="top"/>
            <w:shd w:val="clear" w:color="auto" w:fill="F2F7FC"/>
          </w:tcPr>
          <w:p>
            <w:pPr>
              <w:spacing w:after="40"/>
            </w:pPr>
            <w:r/>
            <w:r>
              <w:rPr>
                <w:rFonts w:ascii="Calibri" w:hAnsi="Calibri"/>
                <w:sz w:val="19"/>
              </w:rPr>
              <w:t>Phase 1 — build now</w:t>
            </w:r>
          </w:p>
        </w:tc>
      </w:tr>
      <w:tr>
        <w:tc>
          <w:tcPr>
            <w:tcW w:type="dxa" w:w="2268"/>
            <w:vAlign w:val="top"/>
          </w:tcPr>
          <w:p>
            <w:pPr>
              <w:spacing w:after="40"/>
            </w:pPr>
            <w:r/>
            <w:r>
              <w:rPr>
                <w:rFonts w:ascii="Calibri" w:hAnsi="Calibri"/>
                <w:sz w:val="19"/>
              </w:rPr>
              <w:t>Explainable AI (SHAP)</w:t>
            </w:r>
          </w:p>
        </w:tc>
        <w:tc>
          <w:tcPr>
            <w:tcW w:type="dxa" w:w="1417"/>
            <w:vAlign w:val="top"/>
          </w:tcPr>
          <w:p>
            <w:pPr>
              <w:spacing w:after="40"/>
            </w:pPr>
            <w:r/>
            <w:r>
              <w:rPr>
                <w:rFonts w:ascii="Calibri" w:hAnsi="Calibri"/>
                <w:sz w:val="19"/>
              </w:rPr>
              <w:t>Easy (4h)</w:t>
            </w:r>
          </w:p>
        </w:tc>
        <w:tc>
          <w:tcPr>
            <w:tcW w:type="dxa" w:w="1134"/>
            <w:vAlign w:val="top"/>
          </w:tcPr>
          <w:p>
            <w:pPr>
              <w:spacing w:after="40"/>
            </w:pPr>
            <w:r/>
            <w:r>
              <w:rPr>
                <w:rFonts w:ascii="Calibri" w:hAnsi="Calibri"/>
                <w:sz w:val="19"/>
              </w:rPr>
              <w:t>HIGH</w:t>
            </w:r>
          </w:p>
        </w:tc>
        <w:tc>
          <w:tcPr>
            <w:tcW w:type="dxa" w:w="1134"/>
            <w:vAlign w:val="top"/>
          </w:tcPr>
          <w:p>
            <w:pPr>
              <w:spacing w:after="40"/>
            </w:pPr>
            <w:r/>
            <w:r>
              <w:rPr>
                <w:rFonts w:ascii="Calibri" w:hAnsi="Calibri"/>
                <w:sz w:val="19"/>
              </w:rPr>
              <w:t>ESSENTIAL</w:t>
            </w:r>
          </w:p>
        </w:tc>
        <w:tc>
          <w:tcPr>
            <w:tcW w:type="dxa" w:w="1701"/>
            <w:vAlign w:val="top"/>
          </w:tcPr>
          <w:p>
            <w:pPr>
              <w:spacing w:after="40"/>
            </w:pPr>
            <w:r/>
            <w:r>
              <w:rPr>
                <w:rFonts w:ascii="Calibri" w:hAnsi="Calibri"/>
                <w:sz w:val="19"/>
              </w:rPr>
              <w:t>Phase 1 — build now</w:t>
            </w:r>
          </w:p>
        </w:tc>
      </w:tr>
      <w:tr>
        <w:tc>
          <w:tcPr>
            <w:tcW w:type="dxa" w:w="2268"/>
            <w:vAlign w:val="top"/>
            <w:shd w:val="clear" w:color="auto" w:fill="F2F7FC"/>
          </w:tcPr>
          <w:p>
            <w:pPr>
              <w:spacing w:after="40"/>
            </w:pPr>
            <w:r/>
            <w:r>
              <w:rPr>
                <w:rFonts w:ascii="Calibri" w:hAnsi="Calibri"/>
                <w:sz w:val="19"/>
              </w:rPr>
              <w:t>Invasive Spread Prediction (MaxEnt + CA)</w:t>
            </w:r>
          </w:p>
        </w:tc>
        <w:tc>
          <w:tcPr>
            <w:tcW w:type="dxa" w:w="1417"/>
            <w:vAlign w:val="top"/>
            <w:shd w:val="clear" w:color="auto" w:fill="F2F7FC"/>
          </w:tcPr>
          <w:p>
            <w:pPr>
              <w:spacing w:after="40"/>
            </w:pPr>
            <w:r/>
            <w:r>
              <w:rPr>
                <w:rFonts w:ascii="Calibri" w:hAnsi="Calibri"/>
                <w:sz w:val="19"/>
              </w:rPr>
              <w:t>Medium (3-5 days)</w:t>
            </w:r>
          </w:p>
        </w:tc>
        <w:tc>
          <w:tcPr>
            <w:tcW w:type="dxa" w:w="1134"/>
            <w:vAlign w:val="top"/>
            <w:shd w:val="clear" w:color="auto" w:fill="F2F7FC"/>
          </w:tcPr>
          <w:p>
            <w:pPr>
              <w:spacing w:after="40"/>
            </w:pPr>
            <w:r/>
            <w:r>
              <w:rPr>
                <w:rFonts w:ascii="Calibri" w:hAnsi="Calibri"/>
                <w:sz w:val="19"/>
              </w:rPr>
              <w:t>VERY HIGH</w:t>
            </w:r>
          </w:p>
        </w:tc>
        <w:tc>
          <w:tcPr>
            <w:tcW w:type="dxa" w:w="1134"/>
            <w:vAlign w:val="top"/>
            <w:shd w:val="clear" w:color="auto" w:fill="F2F7FC"/>
          </w:tcPr>
          <w:p>
            <w:pPr>
              <w:spacing w:after="40"/>
            </w:pPr>
            <w:r/>
            <w:r>
              <w:rPr>
                <w:rFonts w:ascii="Calibri" w:hAnsi="Calibri"/>
                <w:sz w:val="19"/>
              </w:rPr>
              <w:t>HIGH-IMPACT</w:t>
            </w:r>
          </w:p>
        </w:tc>
        <w:tc>
          <w:tcPr>
            <w:tcW w:type="dxa" w:w="1701"/>
            <w:vAlign w:val="top"/>
            <w:shd w:val="clear" w:color="auto" w:fill="F2F7FC"/>
          </w:tcPr>
          <w:p>
            <w:pPr>
              <w:spacing w:after="40"/>
            </w:pPr>
            <w:r/>
            <w:r>
              <w:rPr>
                <w:rFonts w:ascii="Calibri" w:hAnsi="Calibri"/>
                <w:sz w:val="19"/>
              </w:rPr>
              <w:t>Phase 2 — build after core</w:t>
            </w:r>
          </w:p>
        </w:tc>
      </w:tr>
      <w:tr>
        <w:tc>
          <w:tcPr>
            <w:tcW w:type="dxa" w:w="2268"/>
            <w:vAlign w:val="top"/>
          </w:tcPr>
          <w:p>
            <w:pPr>
              <w:spacing w:after="40"/>
            </w:pPr>
            <w:r/>
            <w:r>
              <w:rPr>
                <w:rFonts w:ascii="Calibri" w:hAnsi="Calibri"/>
                <w:sz w:val="19"/>
              </w:rPr>
              <w:t>Extinction Risk Classification (RF)</w:t>
            </w:r>
          </w:p>
        </w:tc>
        <w:tc>
          <w:tcPr>
            <w:tcW w:type="dxa" w:w="1417"/>
            <w:vAlign w:val="top"/>
          </w:tcPr>
          <w:p>
            <w:pPr>
              <w:spacing w:after="40"/>
            </w:pPr>
            <w:r/>
            <w:r>
              <w:rPr>
                <w:rFonts w:ascii="Calibri" w:hAnsi="Calibri"/>
                <w:sz w:val="19"/>
              </w:rPr>
              <w:t>Medium (2-3 days)</w:t>
            </w:r>
          </w:p>
        </w:tc>
        <w:tc>
          <w:tcPr>
            <w:tcW w:type="dxa" w:w="1134"/>
            <w:vAlign w:val="top"/>
          </w:tcPr>
          <w:p>
            <w:pPr>
              <w:spacing w:after="40"/>
            </w:pPr>
            <w:r/>
            <w:r>
              <w:rPr>
                <w:rFonts w:ascii="Calibri" w:hAnsi="Calibri"/>
                <w:sz w:val="19"/>
              </w:rPr>
              <w:t>HIGH</w:t>
            </w:r>
          </w:p>
        </w:tc>
        <w:tc>
          <w:tcPr>
            <w:tcW w:type="dxa" w:w="1134"/>
            <w:vAlign w:val="top"/>
          </w:tcPr>
          <w:p>
            <w:pPr>
              <w:spacing w:after="40"/>
            </w:pPr>
            <w:r/>
            <w:r>
              <w:rPr>
                <w:rFonts w:ascii="Calibri" w:hAnsi="Calibri"/>
                <w:sz w:val="19"/>
              </w:rPr>
              <w:t>HIGH-IMPACT</w:t>
            </w:r>
          </w:p>
        </w:tc>
        <w:tc>
          <w:tcPr>
            <w:tcW w:type="dxa" w:w="1701"/>
            <w:vAlign w:val="top"/>
          </w:tcPr>
          <w:p>
            <w:pPr>
              <w:spacing w:after="40"/>
            </w:pPr>
            <w:r/>
            <w:r>
              <w:rPr>
                <w:rFonts w:ascii="Calibri" w:hAnsi="Calibri"/>
                <w:sz w:val="19"/>
              </w:rPr>
              <w:t>Phase 2 — build after core</w:t>
            </w:r>
          </w:p>
        </w:tc>
      </w:tr>
      <w:tr>
        <w:tc>
          <w:tcPr>
            <w:tcW w:type="dxa" w:w="2268"/>
            <w:vAlign w:val="top"/>
            <w:shd w:val="clear" w:color="auto" w:fill="F2F7FC"/>
          </w:tcPr>
          <w:p>
            <w:pPr>
              <w:spacing w:after="40"/>
            </w:pPr>
            <w:r/>
            <w:r>
              <w:rPr>
                <w:rFonts w:ascii="Calibri" w:hAnsi="Calibri"/>
                <w:sz w:val="19"/>
              </w:rPr>
              <w:t>Computer Vision Field Verification (TFLite)</w:t>
            </w:r>
          </w:p>
        </w:tc>
        <w:tc>
          <w:tcPr>
            <w:tcW w:type="dxa" w:w="1417"/>
            <w:vAlign w:val="top"/>
            <w:shd w:val="clear" w:color="auto" w:fill="F2F7FC"/>
          </w:tcPr>
          <w:p>
            <w:pPr>
              <w:spacing w:after="40"/>
            </w:pPr>
            <w:r/>
            <w:r>
              <w:rPr>
                <w:rFonts w:ascii="Calibri" w:hAnsi="Calibri"/>
                <w:sz w:val="19"/>
              </w:rPr>
              <w:t>Hard (5-7 days)</w:t>
            </w:r>
          </w:p>
        </w:tc>
        <w:tc>
          <w:tcPr>
            <w:tcW w:type="dxa" w:w="1134"/>
            <w:vAlign w:val="top"/>
            <w:shd w:val="clear" w:color="auto" w:fill="F2F7FC"/>
          </w:tcPr>
          <w:p>
            <w:pPr>
              <w:spacing w:after="40"/>
            </w:pPr>
            <w:r/>
            <w:r>
              <w:rPr>
                <w:rFonts w:ascii="Calibri" w:hAnsi="Calibri"/>
                <w:sz w:val="19"/>
              </w:rPr>
              <w:t>HIGH</w:t>
            </w:r>
          </w:p>
        </w:tc>
        <w:tc>
          <w:tcPr>
            <w:tcW w:type="dxa" w:w="1134"/>
            <w:vAlign w:val="top"/>
            <w:shd w:val="clear" w:color="auto" w:fill="F2F7FC"/>
          </w:tcPr>
          <w:p>
            <w:pPr>
              <w:spacing w:after="40"/>
            </w:pPr>
            <w:r/>
            <w:r>
              <w:rPr>
                <w:rFonts w:ascii="Calibri" w:hAnsi="Calibri"/>
                <w:sz w:val="19"/>
              </w:rPr>
              <w:t>HIGH-IMPACT</w:t>
            </w:r>
          </w:p>
        </w:tc>
        <w:tc>
          <w:tcPr>
            <w:tcW w:type="dxa" w:w="1701"/>
            <w:vAlign w:val="top"/>
            <w:shd w:val="clear" w:color="auto" w:fill="F2F7FC"/>
          </w:tcPr>
          <w:p>
            <w:pPr>
              <w:spacing w:after="40"/>
            </w:pPr>
            <w:r/>
            <w:r>
              <w:rPr>
                <w:rFonts w:ascii="Calibri" w:hAnsi="Calibri"/>
                <w:sz w:val="19"/>
              </w:rPr>
              <w:t>Phase 3 — post-hackathon</w:t>
            </w:r>
          </w:p>
        </w:tc>
      </w:tr>
      <w:tr>
        <w:tc>
          <w:tcPr>
            <w:tcW w:type="dxa" w:w="2268"/>
            <w:vAlign w:val="top"/>
          </w:tcPr>
          <w:p>
            <w:pPr>
              <w:spacing w:after="40"/>
            </w:pPr>
            <w:r/>
            <w:r>
              <w:rPr>
                <w:rFonts w:ascii="Calibri" w:hAnsi="Calibri"/>
                <w:sz w:val="19"/>
              </w:rPr>
              <w:t>AI-Powered Sampling Recommendations</w:t>
            </w:r>
          </w:p>
        </w:tc>
        <w:tc>
          <w:tcPr>
            <w:tcW w:type="dxa" w:w="1417"/>
            <w:vAlign w:val="top"/>
          </w:tcPr>
          <w:p>
            <w:pPr>
              <w:spacing w:after="40"/>
            </w:pPr>
            <w:r/>
            <w:r>
              <w:rPr>
                <w:rFonts w:ascii="Calibri" w:hAnsi="Calibri"/>
                <w:sz w:val="19"/>
              </w:rPr>
              <w:t>Hard (5-7 days)</w:t>
            </w:r>
          </w:p>
        </w:tc>
        <w:tc>
          <w:tcPr>
            <w:tcW w:type="dxa" w:w="1134"/>
            <w:vAlign w:val="top"/>
          </w:tcPr>
          <w:p>
            <w:pPr>
              <w:spacing w:after="40"/>
            </w:pPr>
            <w:r/>
            <w:r>
              <w:rPr>
                <w:rFonts w:ascii="Calibri" w:hAnsi="Calibri"/>
                <w:sz w:val="19"/>
              </w:rPr>
              <w:t>VERY HIGH</w:t>
            </w:r>
          </w:p>
        </w:tc>
        <w:tc>
          <w:tcPr>
            <w:tcW w:type="dxa" w:w="1134"/>
            <w:vAlign w:val="top"/>
          </w:tcPr>
          <w:p>
            <w:pPr>
              <w:spacing w:after="40"/>
            </w:pPr>
            <w:r/>
            <w:r>
              <w:rPr>
                <w:rFonts w:ascii="Calibri" w:hAnsi="Calibri"/>
                <w:sz w:val="19"/>
              </w:rPr>
              <w:t>HIGH-IMPACT</w:t>
            </w:r>
          </w:p>
        </w:tc>
        <w:tc>
          <w:tcPr>
            <w:tcW w:type="dxa" w:w="1701"/>
            <w:vAlign w:val="top"/>
          </w:tcPr>
          <w:p>
            <w:pPr>
              <w:spacing w:after="40"/>
            </w:pPr>
            <w:r/>
            <w:r>
              <w:rPr>
                <w:rFonts w:ascii="Calibri" w:hAnsi="Calibri"/>
                <w:sz w:val="19"/>
              </w:rPr>
              <w:t>Phase 3 — post-hackathon</w:t>
            </w:r>
          </w:p>
        </w:tc>
      </w:tr>
    </w:tbl>
    <w:p>
      <w:pPr>
        <w:spacing w:after="120"/>
      </w:pPr>
    </w:p>
    <w:p>
      <w:pPr>
        <w:spacing w:after="200"/>
        <w:jc w:val="center"/>
      </w:pPr>
      <w:r>
        <w:rPr>
          <w:rFonts w:ascii="Calibri" w:hAnsi="Calibri"/>
          <w:i/>
          <w:color w:val="595959"/>
          <w:sz w:val="19"/>
        </w:rPr>
        <w:t>Table 2 — Feature priority matrix. Phase 1 features (3 items, ~20 hours total) are the highest-leverage AI work for the hackathon.</w:t>
      </w:r>
    </w:p>
    <w:p>
      <w:pPr>
        <w:pStyle w:val="Heading1"/>
      </w:pPr>
      <w:r>
        <w:rPr>
          <w:rFonts w:ascii="Calibri" w:hAnsi="Calibri"/>
          <w:color w:val="1F4E79"/>
          <w:sz w:val="40"/>
        </w:rPr>
        <w:t>Counterarguments and Limitations</w:t>
      </w:r>
    </w:p>
    <w:p>
      <w:pPr>
        <w:pStyle w:val="Heading2"/>
      </w:pPr>
      <w:r>
        <w:rPr>
          <w:rFonts w:ascii="Calibri" w:hAnsi="Calibri"/>
          <w:color w:val="1F4E79"/>
          <w:sz w:val="32"/>
        </w:rPr>
        <w:t>12. Scientific Limitations</w:t>
      </w:r>
    </w:p>
    <w:p>
      <w:pPr>
        <w:spacing w:line="312" w:lineRule="auto" w:after="120" w:before="0"/>
        <w:jc w:val="left"/>
      </w:pPr>
      <w:r>
        <w:rPr>
          <w:rFonts w:ascii="Calibri" w:hAnsi="Calibri"/>
          <w:b w:val="0"/>
          <w:i w:val="0"/>
          <w:sz w:val="22"/>
        </w:rPr>
        <w:t>Species distribution models (MaxEnt) predict where a species CAN survive, not where it WILL be. The model does not account for biotic interactions (competition, predation), dispersal limitations, or human interventions (eradication efforts). The predictions are probabilistic, not deterministic — a '78% probability of spread' means there is a 22% chance it will not spread. The model's accuracy depends on the quality of the environmental data, which in India is often coarse (1 km resolution for WorldClim) or sparse (CPCB's 4,736 stations cover a vast country). The model should be presented as decision support, not decision authority — the officer makes the final call, informed by the model's predictions.</w:t>
      </w:r>
    </w:p>
    <w:p>
      <w:pPr>
        <w:spacing w:line="312" w:lineRule="auto" w:after="120" w:before="0"/>
        <w:jc w:val="left"/>
      </w:pPr>
      <w:r>
        <w:rPr>
          <w:rFonts w:ascii="Calibri" w:hAnsi="Calibri"/>
          <w:b w:val="0"/>
          <w:i w:val="0"/>
          <w:sz w:val="22"/>
        </w:rPr>
        <w:t>Extinction risk classification using ML is trained on species that have already been assessed by the IUCN. The model's accuracy on truly Data Deficient species (which may have unusual traits not represented in the training data) is unknown. The 91% accuracy reported by Bland et al. (2015) applies to mammals; fish may have different trait-risk relationships. The model's predictions should be labelled as 'estimated' and should not replace formal IUCN assessments — they should trigger formal assessments.</w:t>
      </w:r>
    </w:p>
    <w:p>
      <w:pPr>
        <w:pStyle w:val="Heading2"/>
      </w:pPr>
      <w:r>
        <w:rPr>
          <w:rFonts w:ascii="Calibri" w:hAnsi="Calibri"/>
          <w:color w:val="1F4E79"/>
          <w:sz w:val="32"/>
        </w:rPr>
        <w:t>13. Data Availability Constraints</w:t>
      </w:r>
    </w:p>
    <w:p>
      <w:pPr>
        <w:spacing w:line="312" w:lineRule="auto" w:after="120" w:before="0"/>
        <w:jc w:val="left"/>
      </w:pPr>
      <w:r>
        <w:rPr>
          <w:rFonts w:ascii="Calibri" w:hAnsi="Calibri"/>
          <w:b w:val="0"/>
          <w:i w:val="0"/>
          <w:sz w:val="22"/>
        </w:rPr>
        <w:t>Several features require data that may not be immediately available. The spread prediction model needs river flow data at the reach level — India-WRIS provides this, but the data may not be available for all river stretches in real-time. The extinction risk model needs biological trait data from FishBase — while FishBase covers most Indian fish species, trait data for some endemic species is incomplete. The computer vision model needs labelled photos of Indian freshwater fish — iNaturalist has limited coverage of Indian fish species, and FishBase photos are not consistently labelled. The sampling recommendation engine needs multiple rounds of sampling data to calibrate the occupancy model — BioRadar currently has one round of Pong reservoir data. These data constraints do not make the features impossible, but they mean the initial models will be less accurate than they could be with more data. The honest framing is: 'The model's accuracy will improve as more data is collected.'</w:t>
      </w:r>
    </w:p>
    <w:p>
      <w:pPr>
        <w:pStyle w:val="Heading2"/>
      </w:pPr>
      <w:r>
        <w:rPr>
          <w:rFonts w:ascii="Calibri" w:hAnsi="Calibri"/>
          <w:color w:val="1F4E79"/>
          <w:sz w:val="32"/>
        </w:rPr>
        <w:t>14. Ethical and Legal Concerns</w:t>
      </w:r>
    </w:p>
    <w:p>
      <w:pPr>
        <w:spacing w:line="312" w:lineRule="auto" w:after="120" w:before="0"/>
        <w:jc w:val="left"/>
      </w:pPr>
      <w:r>
        <w:rPr>
          <w:rFonts w:ascii="Calibri" w:hAnsi="Calibri"/>
          <w:b w:val="0"/>
          <w:i w:val="0"/>
          <w:sz w:val="22"/>
        </w:rPr>
        <w:t>AI-driven conservation decisions raise ethical questions. If the model incorrectly predicts that a species is not at risk (false negative), and the species goes extinct, who is responsible? If the model recommends eradication of a population that turns out to be the last remaining population of a native species (misidentification), the consequences are irreversible. The mitigation is the 'human-in-the-loop' principle: every AI recommendation is reviewed by a human before action is taken. The AI provides the recommendation and the justification; the human makes the decision. The chain-of-custody ledger records who made the decision and on what basis. This is not AI replacing human judgment — it is AI augmenting human judgment with data-driven predictions.</w:t>
      </w:r>
    </w:p>
    <w:p>
      <w:pPr>
        <w:spacing w:line="312" w:lineRule="auto" w:after="120" w:before="0"/>
        <w:jc w:val="left"/>
      </w:pPr>
      <w:r>
        <w:rPr>
          <w:rFonts w:ascii="Calibri" w:hAnsi="Calibri"/>
          <w:b w:val="0"/>
          <w:i w:val="0"/>
          <w:sz w:val="22"/>
        </w:rPr>
        <w:t>The Digital Personal Data Protection Act 2023 (DPDPA) does not specifically address AI-driven decision-making in conservation. However, the principle of 'purpose limitation' (data collected for monitoring should not be used for other purposes without consent) applies. BioRadar's AI features should be scoped to the purpose stated in the sample collection consent — biodiversity monitoring and invasive species detection. Using the data for commercial purposes (e.g., bioprospecting) without additional consent would violate the DPDPA.</w:t>
      </w:r>
    </w:p>
    <w:p>
      <w:pPr>
        <w:pStyle w:val="Heading2"/>
      </w:pPr>
      <w:r>
        <w:rPr>
          <w:rFonts w:ascii="Calibri" w:hAnsi="Calibri"/>
          <w:color w:val="1F4E79"/>
          <w:sz w:val="32"/>
        </w:rPr>
        <w:t>15. What NOT to Build</w:t>
      </w:r>
    </w:p>
    <w:tbl>
      <w:tblPr>
        <w:tblStyle w:val="LightGrid-Accent1"/>
        <w:tblW w:type="auto" w:w="0"/>
        <w:jc w:val="center"/>
        <w:tblLook w:firstColumn="1" w:firstRow="1" w:lastColumn="0" w:lastRow="0" w:noHBand="0" w:noVBand="1" w:val="04A0"/>
      </w:tblPr>
      <w:tblGrid>
        <w:gridCol w:w="3118"/>
        <w:gridCol w:w="3118"/>
        <w:gridCol w:w="3118"/>
      </w:tblGrid>
      <w:tr>
        <w:tc>
          <w:tcPr>
            <w:tcW w:type="dxa" w:w="2268"/>
            <w:shd w:val="clear" w:color="auto" w:fill="1F4E79"/>
            <w:vAlign w:val="center"/>
          </w:tcPr>
          <w:p>
            <w:pPr>
              <w:jc w:val="left"/>
            </w:pPr>
            <w:r/>
            <w:r>
              <w:rPr>
                <w:rFonts w:ascii="Calibri" w:hAnsi="Calibri"/>
                <w:b/>
                <w:color w:val="FFFFFF"/>
                <w:sz w:val="20"/>
              </w:rPr>
              <w:t>Feature</w:t>
            </w:r>
          </w:p>
        </w:tc>
        <w:tc>
          <w:tcPr>
            <w:tcW w:type="dxa" w:w="3685"/>
            <w:shd w:val="clear" w:color="auto" w:fill="1F4E79"/>
            <w:vAlign w:val="center"/>
          </w:tcPr>
          <w:p>
            <w:pPr>
              <w:jc w:val="left"/>
            </w:pPr>
            <w:r/>
            <w:r>
              <w:rPr>
                <w:rFonts w:ascii="Calibri" w:hAnsi="Calibri"/>
                <w:b/>
                <w:color w:val="FFFFFF"/>
                <w:sz w:val="20"/>
              </w:rPr>
              <w:t>Why NOT to Build It</w:t>
            </w:r>
          </w:p>
        </w:tc>
        <w:tc>
          <w:tcPr>
            <w:tcW w:type="dxa" w:w="1417"/>
            <w:shd w:val="clear" w:color="auto" w:fill="1F4E79"/>
            <w:vAlign w:val="center"/>
          </w:tcPr>
          <w:p>
            <w:pPr>
              <w:jc w:val="left"/>
            </w:pPr>
            <w:r/>
            <w:r>
              <w:rPr>
                <w:rFonts w:ascii="Calibri" w:hAnsi="Calibri"/>
                <w:b/>
                <w:color w:val="FFFFFF"/>
                <w:sz w:val="20"/>
              </w:rPr>
              <w:t>Verdict</w:t>
            </w:r>
          </w:p>
        </w:tc>
      </w:tr>
      <w:tr>
        <w:tc>
          <w:tcPr>
            <w:tcW w:type="dxa" w:w="2268"/>
            <w:vAlign w:val="top"/>
          </w:tcPr>
          <w:p>
            <w:pPr>
              <w:spacing w:after="40"/>
            </w:pPr>
            <w:r/>
            <w:r>
              <w:rPr>
                <w:rFonts w:ascii="Calibri" w:hAnsi="Calibri"/>
                <w:sz w:val="19"/>
              </w:rPr>
              <w:t>Full VORTEX population viability analysis</w:t>
            </w:r>
          </w:p>
        </w:tc>
        <w:tc>
          <w:tcPr>
            <w:tcW w:type="dxa" w:w="3685"/>
            <w:vAlign w:val="top"/>
          </w:tcPr>
          <w:p>
            <w:pPr>
              <w:spacing w:after="40"/>
            </w:pPr>
            <w:r/>
            <w:r>
              <w:rPr>
                <w:rFonts w:ascii="Calibri" w:hAnsi="Calibri"/>
                <w:sz w:val="19"/>
              </w:rPr>
              <w:t>Requires population size, birth rate, death rate, carrying capacity — data BioRadar does not have (eDNA gives presence/absence, not population size). VORTEX needs years of mark-recapture data. Out of scope.</w:t>
            </w:r>
          </w:p>
        </w:tc>
        <w:tc>
          <w:tcPr>
            <w:tcW w:type="dxa" w:w="1417"/>
            <w:vAlign w:val="top"/>
          </w:tcPr>
          <w:p>
            <w:pPr>
              <w:spacing w:after="40"/>
            </w:pPr>
            <w:r/>
            <w:r>
              <w:rPr>
                <w:rFonts w:ascii="Calibri" w:hAnsi="Calibri"/>
                <w:sz w:val="19"/>
              </w:rPr>
              <w:t>SKIP — data not available</w:t>
            </w:r>
          </w:p>
        </w:tc>
      </w:tr>
      <w:tr>
        <w:tc>
          <w:tcPr>
            <w:tcW w:type="dxa" w:w="2268"/>
            <w:vAlign w:val="top"/>
            <w:shd w:val="clear" w:color="auto" w:fill="F2F7FC"/>
          </w:tcPr>
          <w:p>
            <w:pPr>
              <w:spacing w:after="40"/>
            </w:pPr>
            <w:r/>
            <w:r>
              <w:rPr>
                <w:rFonts w:ascii="Calibri" w:hAnsi="Calibri"/>
                <w:sz w:val="19"/>
              </w:rPr>
              <w:t>Reinforcement learning for conservation strategy</w:t>
            </w:r>
          </w:p>
        </w:tc>
        <w:tc>
          <w:tcPr>
            <w:tcW w:type="dxa" w:w="3685"/>
            <w:vAlign w:val="top"/>
            <w:shd w:val="clear" w:color="auto" w:fill="F2F7FC"/>
          </w:tcPr>
          <w:p>
            <w:pPr>
              <w:spacing w:after="40"/>
            </w:pPr>
            <w:r/>
            <w:r>
              <w:rPr>
                <w:rFonts w:ascii="Calibri" w:hAnsi="Calibri"/>
                <w:sz w:val="19"/>
              </w:rPr>
              <w:t>RL requires a simulator of the ecosystem, which does not exist for Indian rivers. The state space (all possible ecological states) is too large. Premature for a hackathon.</w:t>
            </w:r>
          </w:p>
        </w:tc>
        <w:tc>
          <w:tcPr>
            <w:tcW w:type="dxa" w:w="1417"/>
            <w:vAlign w:val="top"/>
            <w:shd w:val="clear" w:color="auto" w:fill="F2F7FC"/>
          </w:tcPr>
          <w:p>
            <w:pPr>
              <w:spacing w:after="40"/>
            </w:pPr>
            <w:r/>
            <w:r>
              <w:rPr>
                <w:rFonts w:ascii="Calibri" w:hAnsi="Calibri"/>
                <w:sz w:val="19"/>
              </w:rPr>
              <w:t>SKIP — too complex</w:t>
            </w:r>
          </w:p>
        </w:tc>
      </w:tr>
      <w:tr>
        <w:tc>
          <w:tcPr>
            <w:tcW w:type="dxa" w:w="2268"/>
            <w:vAlign w:val="top"/>
          </w:tcPr>
          <w:p>
            <w:pPr>
              <w:spacing w:after="40"/>
            </w:pPr>
            <w:r/>
            <w:r>
              <w:rPr>
                <w:rFonts w:ascii="Calibri" w:hAnsi="Calibri"/>
                <w:sz w:val="19"/>
              </w:rPr>
              <w:t>Real-time audio species identification (like BirdNET but for fish)</w:t>
            </w:r>
          </w:p>
        </w:tc>
        <w:tc>
          <w:tcPr>
            <w:tcW w:type="dxa" w:w="3685"/>
            <w:vAlign w:val="top"/>
          </w:tcPr>
          <w:p>
            <w:pPr>
              <w:spacing w:after="40"/>
            </w:pPr>
            <w:r/>
            <w:r>
              <w:rPr>
                <w:rFonts w:ascii="Calibri" w:hAnsi="Calibri"/>
                <w:sz w:val="19"/>
              </w:rPr>
              <w:t>Fish do not vocalize like birds. Underwater acoustic monitoring for fish is a research topic, not a deployable feature.</w:t>
            </w:r>
          </w:p>
        </w:tc>
        <w:tc>
          <w:tcPr>
            <w:tcW w:type="dxa" w:w="1417"/>
            <w:vAlign w:val="top"/>
          </w:tcPr>
          <w:p>
            <w:pPr>
              <w:spacing w:after="40"/>
            </w:pPr>
            <w:r/>
            <w:r>
              <w:rPr>
                <w:rFonts w:ascii="Calibri" w:hAnsi="Calibri"/>
                <w:sz w:val="19"/>
              </w:rPr>
              <w:t>SKIP — not applicable</w:t>
            </w:r>
          </w:p>
        </w:tc>
      </w:tr>
      <w:tr>
        <w:tc>
          <w:tcPr>
            <w:tcW w:type="dxa" w:w="2268"/>
            <w:vAlign w:val="top"/>
            <w:shd w:val="clear" w:color="auto" w:fill="F2F7FC"/>
          </w:tcPr>
          <w:p>
            <w:pPr>
              <w:spacing w:after="40"/>
            </w:pPr>
            <w:r/>
            <w:r>
              <w:rPr>
                <w:rFonts w:ascii="Calibri" w:hAnsi="Calibri"/>
                <w:sz w:val="19"/>
              </w:rPr>
              <w:t>Full conversational AI agent (LangGraph supervisor)</w:t>
            </w:r>
          </w:p>
        </w:tc>
        <w:tc>
          <w:tcPr>
            <w:tcW w:type="dxa" w:w="3685"/>
            <w:vAlign w:val="top"/>
            <w:shd w:val="clear" w:color="auto" w:fill="F2F7FC"/>
          </w:tcPr>
          <w:p>
            <w:pPr>
              <w:spacing w:after="40"/>
            </w:pPr>
            <w:r/>
            <w:r>
              <w:rPr>
                <w:rFonts w:ascii="Calibri" w:hAnsi="Calibri"/>
                <w:sz w:val="19"/>
              </w:rPr>
              <w:t>Overlaps with the existing RAG querying feature. The marginal value of a full multi-turn conversational agent over the existing query interface is low for the hackathon.</w:t>
            </w:r>
          </w:p>
        </w:tc>
        <w:tc>
          <w:tcPr>
            <w:tcW w:type="dxa" w:w="1417"/>
            <w:vAlign w:val="top"/>
            <w:shd w:val="clear" w:color="auto" w:fill="F2F7FC"/>
          </w:tcPr>
          <w:p>
            <w:pPr>
              <w:spacing w:after="40"/>
            </w:pPr>
            <w:r/>
            <w:r>
              <w:rPr>
                <w:rFonts w:ascii="Calibri" w:hAnsi="Calibri"/>
                <w:sz w:val="19"/>
              </w:rPr>
              <w:t>DEFER — overlaps with existing</w:t>
            </w:r>
          </w:p>
        </w:tc>
      </w:tr>
      <w:tr>
        <w:tc>
          <w:tcPr>
            <w:tcW w:type="dxa" w:w="2268"/>
            <w:vAlign w:val="top"/>
          </w:tcPr>
          <w:p>
            <w:pPr>
              <w:spacing w:after="40"/>
            </w:pPr>
            <w:r/>
            <w:r>
              <w:rPr>
                <w:rFonts w:ascii="Calibri" w:hAnsi="Calibri"/>
                <w:sz w:val="19"/>
              </w:rPr>
              <w:t>Federated learning across institutions</w:t>
            </w:r>
          </w:p>
        </w:tc>
        <w:tc>
          <w:tcPr>
            <w:tcW w:type="dxa" w:w="3685"/>
            <w:vAlign w:val="top"/>
          </w:tcPr>
          <w:p>
            <w:pPr>
              <w:spacing w:after="40"/>
            </w:pPr>
            <w:r/>
            <w:r>
              <w:rPr>
                <w:rFonts w:ascii="Calibri" w:hAnsi="Calibri"/>
                <w:sz w:val="19"/>
              </w:rPr>
              <w:t>Requires multiple institutions with data — BioRadar currently has one dataset (Pong). FL is a post-pilot feature when multiple partners are onboarded.</w:t>
            </w:r>
          </w:p>
        </w:tc>
        <w:tc>
          <w:tcPr>
            <w:tcW w:type="dxa" w:w="1417"/>
            <w:vAlign w:val="top"/>
          </w:tcPr>
          <w:p>
            <w:pPr>
              <w:spacing w:after="40"/>
            </w:pPr>
            <w:r/>
            <w:r>
              <w:rPr>
                <w:rFonts w:ascii="Calibri" w:hAnsi="Calibri"/>
                <w:sz w:val="19"/>
              </w:rPr>
              <w:t>DEFER — needs multiple partners</w:t>
            </w:r>
          </w:p>
        </w:tc>
      </w:tr>
    </w:tbl>
    <w:p>
      <w:pPr>
        <w:spacing w:after="120"/>
      </w:pPr>
    </w:p>
    <w:p>
      <w:pPr>
        <w:spacing w:after="200"/>
        <w:jc w:val="center"/>
      </w:pPr>
      <w:r>
        <w:rPr>
          <w:rFonts w:ascii="Calibri" w:hAnsi="Calibri"/>
          <w:i/>
          <w:color w:val="595959"/>
          <w:sz w:val="19"/>
        </w:rPr>
        <w:t>Table 3 — Features that are NOT worth building for the hackathon, with honest reasons.</w:t>
      </w:r>
    </w:p>
    <w:p>
      <w:pPr>
        <w:pStyle w:val="Heading1"/>
      </w:pPr>
      <w:r>
        <w:rPr>
          <w:rFonts w:ascii="Calibri" w:hAnsi="Calibri"/>
          <w:color w:val="1F4E79"/>
          <w:sz w:val="40"/>
        </w:rPr>
        <w:t>Conclusion and Implications</w:t>
      </w:r>
    </w:p>
    <w:p>
      <w:pPr>
        <w:pStyle w:val="Heading2"/>
      </w:pPr>
      <w:r>
        <w:rPr>
          <w:rFonts w:ascii="Calibri" w:hAnsi="Calibri"/>
          <w:color w:val="1F4E79"/>
          <w:sz w:val="32"/>
        </w:rPr>
        <w:t>16. Ranked Recommendations</w:t>
      </w:r>
    </w:p>
    <w:p>
      <w:pPr>
        <w:spacing w:line="312" w:lineRule="auto" w:after="120" w:before="0"/>
        <w:jc w:val="left"/>
      </w:pPr>
      <w:r>
        <w:rPr>
          <w:rFonts w:ascii="Calibri" w:hAnsi="Calibri"/>
          <w:b w:val="0"/>
          <w:i w:val="0"/>
          <w:sz w:val="22"/>
        </w:rPr>
        <w:t>Based on the research across 18 candidate features, the ranked recommendations for BioRadar's AI/ML expansion are:</w:t>
      </w:r>
    </w:p>
    <w:p>
      <w:pPr>
        <w:pStyle w:val="ListNumber"/>
        <w:spacing w:line="312" w:lineRule="auto" w:after="60"/>
      </w:pPr>
      <w:r>
        <w:rPr>
          <w:rFonts w:ascii="Calibri" w:hAnsi="Calibri"/>
          <w:sz w:val="22"/>
        </w:rPr>
        <w:t>Automated Insight Generation (NLG) — Easy (6h), ESSENTIAL. The single highest-impact, lowest-effort AI feature. Translates raw data into officer-ready intelligence with recommended actions.</w:t>
      </w:r>
    </w:p>
    <w:p>
      <w:pPr>
        <w:pStyle w:val="ListNumber"/>
        <w:spacing w:line="312" w:lineRule="auto" w:after="60"/>
      </w:pPr>
      <w:r>
        <w:rPr>
          <w:rFonts w:ascii="Calibri" w:hAnsi="Calibri"/>
          <w:sz w:val="22"/>
        </w:rPr>
        <w:t>Smart Alerts with Contextual Reasoning — Medium (10h), ESSENTIAL. Transforms alerts from 'flags' to 'briefings' with legal basis, ecological impact, and recommended actions.</w:t>
      </w:r>
    </w:p>
    <w:p>
      <w:pPr>
        <w:pStyle w:val="ListNumber"/>
        <w:spacing w:line="312" w:lineRule="auto" w:after="60"/>
      </w:pPr>
      <w:r>
        <w:rPr>
          <w:rFonts w:ascii="Calibri" w:hAnsi="Calibri"/>
          <w:sz w:val="22"/>
        </w:rPr>
        <w:t>Explainable AI (SHAP) — Easy (4h), ESSENTIAL. Every AI recommendation must be explainable for legal and ethical defensibility.</w:t>
      </w:r>
    </w:p>
    <w:p>
      <w:pPr>
        <w:pStyle w:val="ListNumber"/>
        <w:spacing w:line="312" w:lineRule="auto" w:after="60"/>
      </w:pPr>
      <w:r>
        <w:rPr>
          <w:rFonts w:ascii="Calibri" w:hAnsi="Calibri"/>
          <w:sz w:val="22"/>
        </w:rPr>
        <w:t>Invasive Spread Prediction (MaxEnt + CA) — Medium (3-5 days), HIGH-IMPACT. Predicts where invasive species will spread. The most visually impressive AI feature for the demo.</w:t>
      </w:r>
    </w:p>
    <w:p>
      <w:pPr>
        <w:pStyle w:val="ListNumber"/>
        <w:spacing w:line="312" w:lineRule="auto" w:after="60"/>
      </w:pPr>
      <w:r>
        <w:rPr>
          <w:rFonts w:ascii="Calibri" w:hAnsi="Calibri"/>
          <w:sz w:val="22"/>
        </w:rPr>
        <w:t>Extinction Risk Classification (RF) — Medium (2-3 days), HIGH-IMPACT. Estimates IUCN risk categories for Data Deficient species using biological traits.</w:t>
      </w:r>
    </w:p>
    <w:p>
      <w:pPr>
        <w:pStyle w:val="ListNumber"/>
        <w:spacing w:line="312" w:lineRule="auto" w:after="60"/>
      </w:pPr>
      <w:r>
        <w:rPr>
          <w:rFonts w:ascii="Calibri" w:hAnsi="Calibri"/>
          <w:sz w:val="22"/>
        </w:rPr>
        <w:t>Computer Vision Field Verification (TFLite) — Hard (5-7 days), HIGH-IMPACT. Phone-based species identification for field verification of eDNA alerts.</w:t>
      </w:r>
    </w:p>
    <w:p>
      <w:pPr>
        <w:pStyle w:val="ListNumber"/>
        <w:spacing w:line="312" w:lineRule="auto" w:after="60"/>
      </w:pPr>
      <w:r>
        <w:rPr>
          <w:rFonts w:ascii="Calibri" w:hAnsi="Calibri"/>
          <w:sz w:val="22"/>
        </w:rPr>
        <w:t>AI-Powered Sampling Recommendations — Hard (5-7 days), HIGH-IMPACT. Recommends optimal sampling locations based on spread prediction and occupancy modelling.</w:t>
      </w:r>
    </w:p>
    <w:p>
      <w:pPr>
        <w:pStyle w:val="Heading2"/>
      </w:pPr>
      <w:r>
        <w:rPr>
          <w:rFonts w:ascii="Calibri" w:hAnsi="Calibri"/>
          <w:color w:val="1F4E79"/>
          <w:sz w:val="32"/>
        </w:rPr>
        <w:t>17. The Phase 1 Build (Hackathon-Feasible)</w:t>
      </w:r>
    </w:p>
    <w:p>
      <w:pPr>
        <w:spacing w:line="312" w:lineRule="auto" w:after="120" w:before="0"/>
        <w:jc w:val="left"/>
      </w:pPr>
      <w:r>
        <w:rPr>
          <w:rFonts w:ascii="Calibri" w:hAnsi="Calibri"/>
          <w:b w:val="0"/>
          <w:i w:val="0"/>
          <w:sz w:val="22"/>
        </w:rPr>
        <w:t>The first 3 features (Automated Insight Generation, Smart Alerts, Explainable AI) are collectively the 'Phase 1 AI Build' — they can be completed in approximately 20 hours of focused work and they transform BioRadar from a data display into a decision-support system. All three reuse the existing LLM infrastructure (Llama 3 + LangChain) and require no new data sources. The remaining 4 features (spread prediction, extinction risk, CV verification, sampling recommendations) are Phase 2/3 features that require additional data, model training, and integration work. They are scientifically grounded and practically valuable but should be built after the core system is stable.</w:t>
      </w:r>
    </w:p>
    <w:p>
      <w:pPr>
        <w:spacing w:before="160" w:after="40"/>
        <w:ind w:left="170"/>
        <w:shd w:val="clear" w:color="auto" w:fill="EAF3FB"/>
        <w:pBdr>
          <w:left w:val="single" w:sz="18" w:space="8" w:color="2E75B6"/>
        </w:pBdr>
      </w:pPr>
      <w:r>
        <w:rPr>
          <w:rFonts w:ascii="Calibri" w:hAnsi="Calibri"/>
          <w:b/>
          <w:color w:val="2E75B6"/>
          <w:sz w:val="22"/>
        </w:rPr>
        <w:t xml:space="preserve">The 20-hour AI sprint  </w:t>
      </w:r>
      <w:r>
        <w:rPr>
          <w:rFonts w:ascii="Calibri" w:hAnsi="Calibri"/>
          <w:sz w:val="22"/>
        </w:rPr>
        <w:t>Hours 1-6: Build Automated Insight Generation. Create the LLM prompt template that takes taxonomy CSV + alerts JSON + CBI + species ecology knowledge base and generates a natural-language summary with recommended actions. Hours 7-16: Build Smart Alerts. Curate the species ecology knowledge graph (FishBase + IUCN + NBA IAS + WLPA schedules). Build the alert generation pipeline that queries the knowledge graph and produces contextual briefings. Hours 17-20: Build Explainable AI. Apply SHAP to the existing flagging engine's confidence scoring. Generate plain-language explanations for each alert. All three features reuse the existing RAG/LLM stack — no new infrastructure needed.</w:t>
      </w:r>
    </w:p>
    <w:p>
      <w:pPr>
        <w:pStyle w:val="Heading2"/>
      </w:pPr>
      <w:r>
        <w:rPr>
          <w:rFonts w:ascii="Calibri" w:hAnsi="Calibri"/>
          <w:color w:val="1F4E79"/>
          <w:sz w:val="32"/>
        </w:rPr>
        <w:t>18. Final Recommendation</w:t>
      </w:r>
    </w:p>
    <w:p>
      <w:pPr>
        <w:spacing w:line="312" w:lineRule="auto" w:after="120" w:before="0"/>
        <w:jc w:val="left"/>
      </w:pPr>
      <w:r>
        <w:rPr>
          <w:rFonts w:ascii="Calibri" w:hAnsi="Calibri"/>
          <w:b w:val="0"/>
          <w:i w:val="0"/>
          <w:sz w:val="22"/>
        </w:rPr>
        <w:t>Yes, BioRadar can do AI-based invasive spread prediction, extinction risk modelling, and accessibility features for non-technical officers. The science is established (MaxEnt, Bland et al., eDNAoccupancy, SHAP), the data is available (WorldClim, CPCB, FishBase, IUCN — all free for India), and the infrastructure exists (LLM, RAG, FastAPI, React dashboard). The recommended approach is a two-phase build: Phase 1 (20 hours, hackathon-feasible) builds the 3 accessibility features that transform BioRadar from a data display into a decision-support system. Phase 2 (2-3 weeks, post-hackathon) builds the 4 predictive features that transform BioRadar from a monitoring tool into a conservation intelligence platform. The combination — detection (existing) + prediction (Phase 2) + interpretation (Phase 1) — would make BioRadar the first eDNA platform in the world that not only tells you what is in the water but also predicts what will be there, explains why it matters, and recommends what to do about it. That is not a hackathon project. That is the future of biodiversity monitoring.</w:t>
      </w:r>
    </w:p>
    <w:p>
      <w:pPr>
        <w:spacing w:line="312" w:lineRule="auto" w:after="120" w:before="0"/>
        <w:jc w:val="left"/>
      </w:pPr>
      <w:r>
        <w:rPr>
          <w:rFonts w:ascii="Calibri" w:hAnsi="Calibri"/>
          <w:b w:val="0"/>
          <w:i w:val="0"/>
          <w:sz w:val="22"/>
        </w:rPr>
        <w:t>The guiding principle for all AI features: every AI output must be grounded in verifiable data, every AI action must be logged and reversible, and every AI recommendation must ship with its explanation. A forest officer does not need to understand machine learning to trust BioRadar — they need to see that every recommendation comes with a clear, data-backed justification. That trust is what makes AI useful in conservation, and that trust is what BioRadar's AI layer is designed to build.</w:t>
      </w:r>
    </w:p>
    <w:p>
      <w:pPr>
        <w:pStyle w:val="Heading1"/>
      </w:pPr>
      <w:r>
        <w:rPr>
          <w:rFonts w:ascii="Calibri" w:hAnsi="Calibri"/>
          <w:color w:val="1F4E79"/>
          <w:sz w:val="40"/>
        </w:rPr>
        <w:t>References</w:t>
      </w:r>
    </w:p>
    <w:p>
      <w:pPr>
        <w:spacing w:after="80" w:line="288" w:lineRule="auto"/>
        <w:ind w:left="567" w:hanging="567"/>
      </w:pPr>
      <w:r>
        <w:rPr>
          <w:rFonts w:ascii="Calibri" w:hAnsi="Calibri"/>
          <w:sz w:val="20"/>
        </w:rPr>
        <w:t>[1] Phillips, S.J., Anderson, R.P., Schapire, R.E. (2006). 'Maximum entropy modeling of species geographic distributions.' Ecological Modelling 190(3-4): 231-259. DOI: 10.1016/j.ecolmodel.2005.03.026. Cited 24,000+ times.</w:t>
      </w:r>
    </w:p>
    <w:p>
      <w:pPr>
        <w:spacing w:after="80" w:line="288" w:lineRule="auto"/>
        <w:ind w:left="567" w:hanging="567"/>
      </w:pPr>
      <w:r>
        <w:rPr>
          <w:rFonts w:ascii="Calibri" w:hAnsi="Calibri"/>
          <w:sz w:val="20"/>
        </w:rPr>
        <w:t>[2] Borgelt, J. et al. (2022). 'Most of the world's Data Deficient species are likely threatened.' Communications Biology. DOI: 10.1038/s42003-022-03838-y.</w:t>
      </w:r>
    </w:p>
    <w:p>
      <w:pPr>
        <w:spacing w:after="80" w:line="288" w:lineRule="auto"/>
        <w:ind w:left="567" w:hanging="567"/>
      </w:pPr>
      <w:r>
        <w:rPr>
          <w:rFonts w:ascii="Calibri" w:hAnsi="Calibri"/>
          <w:sz w:val="20"/>
        </w:rPr>
        <w:t>[3] Bland, L.M. et al. (2015). 'Predicting the conservation status of Data Deficient species.' Conservation Biology 29(1): 250-259. DOI: 10.1111/cobi.12372. 91% accuracy for mammals.</w:t>
      </w:r>
    </w:p>
    <w:p>
      <w:pPr>
        <w:spacing w:after="80" w:line="288" w:lineRule="auto"/>
        <w:ind w:left="567" w:hanging="567"/>
      </w:pPr>
      <w:r>
        <w:rPr>
          <w:rFonts w:ascii="Calibri" w:hAnsi="Calibri"/>
          <w:sz w:val="20"/>
        </w:rPr>
        <w:t>[4] Dorazio, R.M. &amp; Erickson, R.A. (2018). 'ednaoccupancy: An R package for multiscale occupancy modelling of environmental DNA data.' Molecular Ecology Resources 18(2): 368-380. DOI: 10.1111/1755-0998.12735.</w:t>
      </w:r>
    </w:p>
    <w:p>
      <w:pPr>
        <w:spacing w:after="80" w:line="288" w:lineRule="auto"/>
        <w:ind w:left="567" w:hanging="567"/>
      </w:pPr>
      <w:r>
        <w:rPr>
          <w:rFonts w:ascii="Calibri" w:hAnsi="Calibri"/>
          <w:sz w:val="20"/>
        </w:rPr>
        <w:t>[5] Waggoner, J.R., Donnelly, M. et al. (2025). 'Creating interpretable deep learning models to identify species using environmental DNA sequences.' Scientific Reports 15(1): 27436. DOI: 10.1038/s41598-025-09846-7.</w:t>
      </w:r>
    </w:p>
    <w:p>
      <w:pPr>
        <w:spacing w:after="80" w:line="288" w:lineRule="auto"/>
        <w:ind w:left="567" w:hanging="567"/>
      </w:pPr>
      <w:r>
        <w:rPr>
          <w:rFonts w:ascii="Calibri" w:hAnsi="Calibri"/>
          <w:sz w:val="20"/>
        </w:rPr>
        <w:t>[6] Bossenbroek, J.M., Kraft, C.E., Nekola, J.C. (2001). 'Prediction of long-distance dispersal using gravity models: Zebra mussel invasion of inland lakes.' Ecology Letters 4(5): 326-333.</w:t>
      </w:r>
    </w:p>
    <w:p>
      <w:pPr>
        <w:spacing w:after="80" w:line="288" w:lineRule="auto"/>
        <w:ind w:left="567" w:hanging="567"/>
      </w:pPr>
      <w:r>
        <w:rPr>
          <w:rFonts w:ascii="Calibri" w:hAnsi="Calibri"/>
          <w:sz w:val="20"/>
        </w:rPr>
        <w:t>[7] BenDor, T.K. et al. (2006). 'Simulating endogenous disruption and adaptation in coastal ecosystems.' Ecological Economics 60(1): 100-115.</w:t>
      </w:r>
    </w:p>
    <w:p>
      <w:pPr>
        <w:spacing w:after="80" w:line="288" w:lineRule="auto"/>
        <w:ind w:left="567" w:hanging="567"/>
      </w:pPr>
      <w:r>
        <w:rPr>
          <w:rFonts w:ascii="Calibri" w:hAnsi="Calibri"/>
          <w:sz w:val="20"/>
        </w:rPr>
        <w:t>[8] IPBES (2023). Thematic Assessment Report on Invasive Alien Species and their Control. DOI: 10.5281/zenodo.7432568.</w:t>
      </w:r>
    </w:p>
    <w:p>
      <w:pPr>
        <w:spacing w:after="80" w:line="288" w:lineRule="auto"/>
        <w:ind w:left="567" w:hanging="567"/>
      </w:pPr>
      <w:r>
        <w:rPr>
          <w:rFonts w:ascii="Calibri" w:hAnsi="Calibri"/>
          <w:sz w:val="20"/>
        </w:rPr>
        <w:t>[9] Thuiller, W. et al. (2009). 'BIOMOD — a platform for ensemble forecasting of species distributions.' Ecography 32: 369-373. CRAN package: biomod2.</w:t>
      </w:r>
    </w:p>
    <w:p>
      <w:pPr>
        <w:spacing w:after="80" w:line="288" w:lineRule="auto"/>
        <w:ind w:left="567" w:hanging="567"/>
      </w:pPr>
      <w:r>
        <w:rPr>
          <w:rFonts w:ascii="Calibri" w:hAnsi="Calibri"/>
          <w:sz w:val="20"/>
        </w:rPr>
        <w:t>[10] Lacy, R.C. &amp; Pollak, J.P. VORTEX: A stochastic simulation of the extinction process. v10.org. Population viability analysis software.</w:t>
      </w:r>
    </w:p>
    <w:p>
      <w:pPr>
        <w:spacing w:after="80" w:line="288" w:lineRule="auto"/>
        <w:ind w:left="567" w:hanging="567"/>
      </w:pPr>
      <w:r>
        <w:rPr>
          <w:rFonts w:ascii="Calibri" w:hAnsi="Calibri"/>
          <w:sz w:val="20"/>
        </w:rPr>
        <w:t>[11] Akçakaya, H.R. RAMAS GIS: Linking spatial data with population viability analysis. Applied Biomathematics.</w:t>
      </w:r>
    </w:p>
    <w:p>
      <w:pPr>
        <w:spacing w:after="80" w:line="288" w:lineRule="auto"/>
        <w:ind w:left="567" w:hanging="567"/>
      </w:pPr>
      <w:r>
        <w:rPr>
          <w:rFonts w:ascii="Calibri" w:hAnsi="Calibri"/>
          <w:sz w:val="20"/>
        </w:rPr>
        <w:t>[12] Lundberg, S.M. &amp; Lee, S.I. (2017). 'A Unified Approach to Interpreting Model Predictions.' NeurIPS 2017. SHAP (SHapley Additive exPlanations).</w:t>
      </w:r>
    </w:p>
    <w:p>
      <w:pPr>
        <w:spacing w:after="80" w:line="288" w:lineRule="auto"/>
        <w:ind w:left="567" w:hanging="567"/>
      </w:pPr>
      <w:r>
        <w:rPr>
          <w:rFonts w:ascii="Calibri" w:hAnsi="Calibri"/>
          <w:sz w:val="20"/>
        </w:rPr>
        <w:t>[13] iNaturalist. Computer vision auto-identification. inaturalist.org/pages/computer_vision_demo. Trained on 50M+ observations.</w:t>
      </w:r>
    </w:p>
    <w:p>
      <w:pPr>
        <w:spacing w:after="80" w:line="288" w:lineRule="auto"/>
        <w:ind w:left="567" w:hanging="567"/>
      </w:pPr>
      <w:r>
        <w:rPr>
          <w:rFonts w:ascii="Calibri" w:hAnsi="Calibri"/>
          <w:sz w:val="20"/>
        </w:rPr>
        <w:t>[14] TensorFlow Lite. On-device ML for mobile. tensorflow.org/lite. Supports int8 quantization for ~5 MB models.</w:t>
      </w:r>
    </w:p>
    <w:p>
      <w:pPr>
        <w:spacing w:after="80" w:line="288" w:lineRule="auto"/>
        <w:ind w:left="567" w:hanging="567"/>
      </w:pPr>
      <w:r>
        <w:rPr>
          <w:rFonts w:ascii="Calibri" w:hAnsi="Calibri"/>
          <w:sz w:val="20"/>
        </w:rPr>
        <w:t>[15] WorldClim 2.1. Global climate data at 1 km resolution. worldclim.org. 19 bioclimatic variables.</w:t>
      </w:r>
    </w:p>
    <w:p>
      <w:pPr>
        <w:spacing w:after="80" w:line="288" w:lineRule="auto"/>
        <w:ind w:left="567" w:hanging="567"/>
      </w:pPr>
      <w:r>
        <w:rPr>
          <w:rFonts w:ascii="Calibri" w:hAnsi="Calibri"/>
          <w:sz w:val="20"/>
        </w:rPr>
        <w:t>[16] ISRO Bhuvan. Indian geoportal. bhuvan.nrsc.gov.in. Land use/land cover, thematic layers.</w:t>
      </w:r>
    </w:p>
    <w:p>
      <w:pPr>
        <w:spacing w:after="80" w:line="288" w:lineRule="auto"/>
        <w:ind w:left="567" w:hanging="567"/>
      </w:pPr>
      <w:r>
        <w:rPr>
          <w:rFonts w:ascii="Calibri" w:hAnsi="Calibri"/>
          <w:sz w:val="20"/>
        </w:rPr>
        <w:t>[17] CPCB. Central Pollution Control Board. National Water Quality Monitoring Programme (NWMP). 4,736 stations. cpcb.nic.in.</w:t>
      </w:r>
    </w:p>
    <w:p>
      <w:pPr>
        <w:spacing w:after="80" w:line="288" w:lineRule="auto"/>
        <w:ind w:left="567" w:hanging="567"/>
      </w:pPr>
      <w:r>
        <w:rPr>
          <w:rFonts w:ascii="Calibri" w:hAnsi="Calibri"/>
          <w:sz w:val="20"/>
        </w:rPr>
        <w:t>[18] India-WRIS. Water Resources Information System. india-wris.gov.in. River flow, rainfall, soil moisture.</w:t>
      </w:r>
    </w:p>
    <w:p>
      <w:pPr>
        <w:spacing w:after="80" w:line="288" w:lineRule="auto"/>
        <w:ind w:left="567" w:hanging="567"/>
      </w:pPr>
      <w:r>
        <w:rPr>
          <w:rFonts w:ascii="Calibri" w:hAnsi="Calibri"/>
          <w:sz w:val="20"/>
        </w:rPr>
        <w:t>[19] FishBase. Global fish information system. fishbase.org. Free API for trait data (body size, reproduction, diet).</w:t>
      </w:r>
    </w:p>
    <w:p>
      <w:pPr>
        <w:spacing w:after="80" w:line="288" w:lineRule="auto"/>
        <w:ind w:left="567" w:hanging="567"/>
      </w:pPr>
      <w:r>
        <w:rPr>
          <w:rFonts w:ascii="Calibri" w:hAnsi="Calibri"/>
          <w:sz w:val="20"/>
        </w:rPr>
        <w:t>[20] IUCN Red List API. iucnredlist.org. Free API for species conservation status and threat data.</w:t>
      </w:r>
    </w:p>
    <w:p>
      <w:pPr>
        <w:spacing w:after="80" w:line="288" w:lineRule="auto"/>
        <w:ind w:left="567" w:hanging="567"/>
      </w:pPr>
      <w:r>
        <w:rPr>
          <w:rFonts w:ascii="Calibri" w:hAnsi="Calibri"/>
          <w:sz w:val="20"/>
        </w:rPr>
        <w:t>[21] Domínguez-Domínguez, O. et al. (2006). 'Using ecological niche modelling as a conservation tool for Mexican freshwater fish.' Diversity and Distributions.</w:t>
      </w:r>
    </w:p>
    <w:p>
      <w:pPr>
        <w:spacing w:after="80" w:line="288" w:lineRule="auto"/>
        <w:ind w:left="567" w:hanging="567"/>
      </w:pPr>
      <w:r>
        <w:rPr>
          <w:rFonts w:ascii="Calibri" w:hAnsi="Calibri"/>
          <w:sz w:val="20"/>
        </w:rPr>
        <w:t>[22] Anand, P. et al. (2026). 'deepSDM: Deep learning for species distribution modelling.' PNAS.</w:t>
      </w:r>
    </w:p>
    <w:p>
      <w:pPr>
        <w:spacing w:after="80" w:line="288" w:lineRule="auto"/>
        <w:ind w:left="567" w:hanging="567"/>
      </w:pPr>
      <w:r>
        <w:rPr>
          <w:rFonts w:ascii="Calibri" w:hAnsi="Calibri"/>
          <w:sz w:val="20"/>
        </w:rPr>
        <w:t>[23] Rojas-Sandoval, J. et al. (2025). 'Machine learning approaches for predicting invasive species spread.' Biological Invasions.</w:t>
      </w:r>
    </w:p>
    <w:p>
      <w:pPr>
        <w:spacing w:after="80" w:line="288" w:lineRule="auto"/>
        <w:ind w:left="567" w:hanging="567"/>
      </w:pPr>
      <w:r>
        <w:rPr>
          <w:rFonts w:ascii="Calibri" w:hAnsi="Calibri"/>
          <w:sz w:val="20"/>
        </w:rPr>
        <w:t>[24] Tikhonov, G. et al. (2020). 'Joint species distribution modelling with the R-package Hmsc.' Methods in Ecology and Evolution. DOI: 10.1111/2041-210X.13369. Cited 667 times.</w:t>
      </w:r>
    </w:p>
    <w:p>
      <w:pPr>
        <w:spacing w:after="80" w:line="288" w:lineRule="auto"/>
        <w:ind w:left="567" w:hanging="567"/>
      </w:pPr>
      <w:r>
        <w:rPr>
          <w:rFonts w:ascii="Calibri" w:hAnsi="Calibri"/>
          <w:sz w:val="20"/>
        </w:rPr>
        <w:t>[25] Araújo, M.B. &amp; New, M. (2007). 'Ensemble forecasting of species distributions.' Trends in Ecology &amp; Evolution 22(1): 42-47.</w:t>
      </w:r>
    </w:p>
    <w:p>
      <w:pPr>
        <w:spacing w:after="80" w:line="288" w:lineRule="auto"/>
        <w:ind w:left="567" w:hanging="567"/>
      </w:pPr>
      <w:r>
        <w:rPr>
          <w:rFonts w:ascii="Calibri" w:hAnsi="Calibri"/>
          <w:sz w:val="20"/>
        </w:rPr>
        <w:t>[26] Buxton, A.S. et al. (2021). 'Avoiding the silent extinction of Data Deficient species.' Conservation Biology. False-positive eDNA occupancy extension.</w:t>
      </w:r>
    </w:p>
    <w:p>
      <w:pPr>
        <w:spacing w:after="80" w:line="288" w:lineRule="auto"/>
        <w:ind w:left="567" w:hanging="567"/>
      </w:pPr>
      <w:r>
        <w:rPr>
          <w:rFonts w:ascii="Calibri" w:hAnsi="Calibri"/>
          <w:sz w:val="20"/>
        </w:rPr>
        <w:t>[27] Sander, M. et al. (2023). 'Seasonal eDNA time series for biodiversity monitoring.' Molecular Ecology.</w:t>
      </w:r>
    </w:p>
    <w:p>
      <w:pPr>
        <w:spacing w:after="80" w:line="288" w:lineRule="auto"/>
        <w:ind w:left="567" w:hanging="567"/>
      </w:pPr>
      <w:r>
        <w:rPr>
          <w:rFonts w:ascii="Calibri" w:hAnsi="Calibri"/>
          <w:sz w:val="20"/>
        </w:rPr>
        <w:t>[28] Parvez, S. et al. (2022). 'Genetic erosion of native Clarias batrachus due to African catfish introduction.' PMC8869340.</w:t>
      </w:r>
    </w:p>
    <w:p>
      <w:pPr>
        <w:spacing w:after="80" w:line="288" w:lineRule="auto"/>
        <w:ind w:left="567" w:hanging="567"/>
      </w:pPr>
      <w:r>
        <w:rPr>
          <w:rFonts w:ascii="Calibri" w:hAnsi="Calibri"/>
          <w:sz w:val="20"/>
        </w:rPr>
        <w:t>[29] LangGraph. Multi-agent orchestration framework. langchain-ai.github.io/langgraph/.</w:t>
      </w:r>
    </w:p>
    <w:p>
      <w:pPr>
        <w:spacing w:after="80" w:line="288" w:lineRule="auto"/>
        <w:ind w:left="567" w:hanging="567"/>
      </w:pPr>
      <w:r>
        <w:rPr>
          <w:rFonts w:ascii="Calibri" w:hAnsi="Calibri"/>
          <w:sz w:val="20"/>
        </w:rPr>
        <w:t>[30] Flower. Federated learning framework. Beutel et al. 2020, arXiv:2007.14390. flower.dev.</w:t>
      </w:r>
    </w:p>
    <w:p>
      <w:pPr>
        <w:spacing w:line="312" w:lineRule="auto" w:after="120" w:before="0"/>
        <w:jc w:val="left"/>
      </w:pPr>
      <w:r>
        <w:rPr>
          <w:rFonts w:ascii="Calibri" w:hAnsi="Calibri"/>
          <w:b w:val="0"/>
          <w:i/>
          <w:sz w:val="20"/>
        </w:rPr>
        <w:t>End of document. This research confirms that AI-based invasive spread prediction, extinction risk modelling, and accessibility features are scientifically feasible and practically implementable for BioRadar. The recommended approach is a two-phase build: Phase 1 (20 hours, hackathon-feasible) builds the 3 accessibility features that transform BioRadar from a data display into a decision-support system. Phase 2 (2-3 weeks, post-hackathon) builds the 4 predictive features that transform BioRadar from a monitoring tool into a conservation intelligence platform. Every AI recommendation must be grounded, logged, and explainable.</w:t>
      </w:r>
    </w:p>
    <w:sectPr w:rsidR="00FC693F" w:rsidRPr="0006063C" w:rsidSect="00034616">
      <w:headerReference w:type="default" r:id="rId9"/>
      <w:footerReference w:type="default" r:id="rId10"/>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95959"/>
        <w:sz w:val="18"/>
      </w:rPr>
      <w:t>BioRadar — Comprehensive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