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12-04/1031</w:t>
      </w:r>
      <w:r>
        <w:rPr/>
        <w:t xml:space="preserve"> от </w:t>
      </w:r>
      <w:r>
        <w:rPr>
          <w:shd w:fill="FFF2A8" w:val="clear"/>
        </w:rPr>
        <w:t>24.09.2026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0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1"/>
        <w:gridCol w:w="4511"/>
      </w:tblGrid>
      <w:tr>
        <w:trPr/>
        <w:tc>
          <w:tcPr>
            <w:tcW w:w="4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ОсОО «Тянь-Шань Строй»</w:t>
            </w:r>
            <w:r>
              <w:rPr/>
              <w:br/>
            </w:r>
            <w:r>
              <w:rPr>
                <w:shd w:fill="FFF2A8" w:val="clear"/>
              </w:rPr>
              <w:t>г. Бишкек, ул. Токтогула, 125</w:t>
            </w:r>
          </w:p>
        </w:tc>
      </w:tr>
    </w:tbl>
    <w:p>
      <w:pPr>
        <w:pStyle w:val="Heading1"/>
        <w:bidi w:val="0"/>
        <w:rPr/>
      </w:pPr>
      <w:r>
        <w:rPr/>
        <w:t>ПРЕТЕНЗИЯ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22-1/045 от 03.02.2022</w:t>
      </w:r>
      <w:r>
        <w:rPr/>
        <w:t xml:space="preserve"> платёж по графику со сроком </w:t>
      </w:r>
      <w:r>
        <w:rPr>
          <w:shd w:fill="FFF2A8" w:val="clear"/>
        </w:rPr>
        <w:t>11.09.2026</w:t>
      </w:r>
      <w:r>
        <w:rPr/>
        <w:t xml:space="preserve"> не внесён. Просрочка на </w:t>
      </w:r>
      <w:r>
        <w:rPr>
          <w:shd w:fill="FFF2A8" w:val="clear"/>
        </w:rPr>
        <w:t>24.09.2026</w:t>
      </w:r>
      <w:r>
        <w:rPr/>
        <w:t xml:space="preserve"> составляет </w:t>
      </w:r>
      <w:r>
        <w:rPr>
          <w:shd w:fill="FFF2A8" w:val="clear"/>
        </w:rPr>
        <w:t>13</w:t>
      </w:r>
      <w:r>
        <w:rPr/>
        <w:t xml:space="preserve"> дней.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Просроченная задолженность: основная сумма — </w:t>
      </w:r>
      <w:r>
        <w:rPr>
          <w:shd w:fill="FFF2A8" w:val="clear"/>
        </w:rPr>
        <w:t>150 000,00</w:t>
      </w:r>
      <w:r>
        <w:rPr/>
        <w:t xml:space="preserve"> сом, проценты — </w:t>
      </w:r>
      <w:r>
        <w:rPr>
          <w:shd w:fill="FFF2A8" w:val="clear"/>
        </w:rPr>
        <w:t>18 525,00</w:t>
      </w:r>
      <w:r>
        <w:rPr/>
        <w:t xml:space="preserve"> сом, штрафы — </w:t>
      </w:r>
      <w:r>
        <w:rPr>
          <w:shd w:fill="FFF2A8" w:val="clear"/>
        </w:rPr>
        <w:t>1 527,50</w:t>
      </w:r>
      <w:r>
        <w:rPr/>
        <w:t xml:space="preserve"> сом, всего — </w:t>
      </w:r>
      <w:r>
        <w:rPr>
          <w:shd w:fill="FFF2A8" w:val="clear"/>
        </w:rPr>
        <w:t>170 052,50</w:t>
      </w:r>
      <w:r>
        <w:rPr/>
        <w:t xml:space="preserve"> сом. Остаток основного долга — </w:t>
      </w:r>
      <w:r>
        <w:rPr>
          <w:shd w:fill="FFF2A8" w:val="clear"/>
        </w:rPr>
        <w:t>1 900 000,00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Требуем погасить просроченную задолженность в течение 14 календарных дней со дня направления претензии, то есть не позднее </w:t>
      </w:r>
      <w:r>
        <w:rPr>
          <w:shd w:fill="FFF2A8" w:val="clear"/>
        </w:rPr>
        <w:t>08.10.2026</w:t>
      </w:r>
      <w:r>
        <w:rPr/>
        <w:t xml:space="preserve">, по реквизитам: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При неисполнении требования ОАО «Госфинхолдинг» направит повторную претензию и применит меры принудительного взыскания, предусмотренные договором и законодательством Кыргызской Республики.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ФО-30 «Первичная претензия»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ФО-30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Первичная претензия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16 пп. 2; оф. ТЗ ¶553–556; старая система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старая система «Претензия»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Потребовать от заёмщика погасить просроченную задолженность до применения принудительных мер; направление претензии — обязательный этап досудебного порядка.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после телефонных переговоров с заёмщиком в срок до 10 рабочих дней со дня, когда АСУБК перевела заёмщика в категорию «средний кредитный риск» (1-й календарный день просрочки). Одна претензия на кредит (Порядок №41 п. 16 пп. 1–2).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 Способ отправки (почта, нарочно, СЭД) куратор отмечает при регистрации.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16 пп. 2 и форме «Претензия» старой системы (остаток основного долга, просрочка, требование погасить). Постоянная часть — требование погасить задолженность в течение 14 календарных дней со дня направления и предупреждение о повторной претензии и принудительных мерах.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 Дата направления подтверждается штампом почтовой связи или квитанцией СЭД.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452"/>
        <w:gridCol w:w="4187"/>
      </w:tblGrid>
      <w:tr>
        <w:trPr/>
        <w:tc>
          <w:tcPr>
            <w:tcW w:w="545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1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заёмщика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срока просроченного платежа и число дней просрочки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Просроченная задолженность: основная сумма, проценты, штрафы, всего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бланка, просроченные платежи графика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погашения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направления + 14 календарных дней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оплаты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54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1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КЗ-02 бланк доступен с 1-го дня просрочки (12.09.2026); если за 10 рабочих дней он не зарегистрирован, система показывает куратору нарушение срока.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Срок погашения в тексте = дата направления + 14 календарных дней (в образце дата направления совпадает с датой бланка).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Просроченная основная сумма, проценты и штрафы = просроченной задолженности карточки кредита КЗ-02 № 22-1/045 на дату бланка; на 01.10.2026 просрочка 20 дней: 150 000,00, 28 500,00 и 2 350,00.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КЗ-01 (без просрочки) бланк недоступен.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Зарегистрированная претензия КЗ-02 видна в ФО-17, вид «Претензии», и в ФО-19.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