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14-02/0233</w:t>
      </w:r>
      <w:r>
        <w:rPr/>
        <w:t xml:space="preserve"> от </w:t>
      </w:r>
      <w:r>
        <w:rPr>
          <w:shd w:fill="FFF2A8" w:val="clear"/>
        </w:rPr>
        <w:t>10.06.2026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34"/>
        <w:gridCol w:w="5005"/>
      </w:tblGrid>
      <w:tr>
        <w:trPr/>
        <w:tc>
          <w:tcPr>
            <w:tcW w:w="4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0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Заёмщику и залогодателю </w:t>
            </w:r>
            <w:r>
              <w:rPr>
                <w:shd w:fill="FFF2A8" w:val="clear"/>
              </w:rPr>
              <w:t>ОсОО «Ош-Текстиль»</w:t>
            </w:r>
            <w:r>
              <w:rPr/>
              <w:br/>
            </w:r>
            <w:r>
              <w:rPr>
                <w:shd w:fill="FFF2A8" w:val="clear"/>
              </w:rPr>
              <w:t>Ошская обл., Кара-Суйский р-н, с. Кара-Суу, ул. Мира, 7</w:t>
            </w:r>
          </w:p>
        </w:tc>
      </w:tr>
    </w:tbl>
    <w:p>
      <w:pPr>
        <w:pStyle w:val="Heading1"/>
        <w:bidi w:val="0"/>
        <w:rPr/>
      </w:pPr>
      <w:r>
        <w:rPr/>
        <w:t>ИЗВЕЩЕНИЕ о начале обращения взыскания на предмет залога</w:t>
      </w:r>
    </w:p>
    <w:p>
      <w:pPr>
        <w:pStyle w:val="BodyText"/>
        <w:bidi w:val="0"/>
        <w:ind w:firstLine="709" w:left="0" w:right="0"/>
        <w:rPr/>
      </w:pPr>
      <w:r>
        <w:rPr/>
        <w:t xml:space="preserve">ОАО «Госфинхолдинг» извещает, что по кредитному договору </w:t>
      </w:r>
      <w:r>
        <w:rPr>
          <w:shd w:fill="FFF2A8" w:val="clear"/>
        </w:rPr>
        <w:t>№ 21-5/203 от 09.09.2021</w:t>
      </w:r>
      <w:r>
        <w:rPr/>
        <w:t xml:space="preserve"> обязательства заёмщика </w:t>
      </w:r>
      <w:r>
        <w:rPr>
          <w:shd w:fill="FFF2A8" w:val="clear"/>
        </w:rPr>
        <w:t>ОсОО «Ош-Текстиль»</w:t>
      </w:r>
      <w:r>
        <w:rPr/>
        <w:t xml:space="preserve"> не исполнены. Решением комитета по вопросам правового обеспечения и управления активами (</w:t>
      </w:r>
      <w:r>
        <w:rPr>
          <w:shd w:fill="FFF2A8" w:val="clear"/>
        </w:rPr>
        <w:t>протокол № 6 от 02.06.2026</w:t>
      </w:r>
      <w:r>
        <w:rPr/>
        <w:t xml:space="preserve">) начата процедура внесудебного обращения взыскания на предмет залога по договору о залоге </w:t>
      </w:r>
      <w:r>
        <w:rPr>
          <w:shd w:fill="FFF2A8" w:val="clear"/>
        </w:rPr>
        <w:t>№ 21-5/203-З1 от 09.09.2021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Предмет залога: </w:t>
      </w:r>
      <w:r>
        <w:rPr>
          <w:shd w:fill="FFF2A8" w:val="clear"/>
        </w:rPr>
        <w:t>нежилое здание (цех), Ошская обл., Кара-Суйский р-н, с. Кара-Суу, ул. Мира, 7; регистрационная запись № 05-2-0412/21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Задолженность на </w:t>
      </w:r>
      <w:r>
        <w:rPr>
          <w:shd w:fill="FFF2A8" w:val="clear"/>
        </w:rPr>
        <w:t>10.06.2026</w:t>
      </w:r>
      <w:r>
        <w:rPr/>
        <w:t xml:space="preserve">: основная сумма — </w:t>
      </w:r>
      <w:r>
        <w:rPr>
          <w:shd w:fill="FFF2A8" w:val="clear"/>
        </w:rPr>
        <w:t>3 600 000,00</w:t>
      </w:r>
      <w:r>
        <w:rPr/>
        <w:t xml:space="preserve"> сом (в том числе просроченная — </w:t>
      </w:r>
      <w:r>
        <w:rPr>
          <w:shd w:fill="FFF2A8" w:val="clear"/>
        </w:rPr>
        <w:t>800 000,00</w:t>
      </w:r>
      <w:r>
        <w:rPr/>
        <w:t xml:space="preserve"> сом), проценты — </w:t>
      </w:r>
      <w:r>
        <w:rPr>
          <w:shd w:fill="FFF2A8" w:val="clear"/>
        </w:rPr>
        <w:t>191 462,26</w:t>
      </w:r>
      <w:r>
        <w:rPr/>
        <w:t xml:space="preserve"> сом, штрафы — </w:t>
      </w:r>
      <w:r>
        <w:rPr>
          <w:shd w:fill="FFF2A8" w:val="clear"/>
        </w:rPr>
        <w:t>56 271,23</w:t>
      </w:r>
      <w:r>
        <w:rPr/>
        <w:t xml:space="preserve"> сом, всего — </w:t>
      </w:r>
      <w:r>
        <w:rPr>
          <w:shd w:fill="FFF2A8" w:val="clear"/>
        </w:rPr>
        <w:t>3 847 733,49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В связи с направлением извещения сроки исполнения всех обязательств по кредитному договору наступили в день регистрации (направления) извещения независимо от первоначальных условий договора. Просим исполнить обязательства до </w:t>
      </w:r>
      <w:r>
        <w:rPr>
          <w:shd w:fill="FFF2A8" w:val="clear"/>
        </w:rPr>
        <w:t>10.07.2026</w:t>
      </w:r>
      <w:r>
        <w:rPr/>
        <w:t>. При неисполнении предмет залога будет реализован в соответствии с договором о залоге и законодательством Кыргызской Республики.</w:t>
      </w:r>
    </w:p>
    <w:tbl>
      <w:tblPr>
        <w:tblW w:w="91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22"/>
        <w:gridCol w:w="4109"/>
      </w:tblGrid>
      <w:tr>
        <w:trPr/>
        <w:tc>
          <w:tcPr>
            <w:tcW w:w="5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 правового обеспечения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ФО-33 «Извещение о начале обращения взыскания на предмет залога»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Извещение о начале обращения взыскания на предмет залога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залогодатель, орган регистрации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20 пп. 1, п. 32, п. 45; оф. ТЗ ¶962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Официально известить заёмщика, залогодателя и орган регистрации о начале обращения взыскания на предмет залога; с направления извещения сроки исполнения всех обязательств по кредиту считаются наступившими.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после проверки отделом по работе с проблемными кредитами пакета документов (в течение 10 рабочих дней с получения, п. 20 пп. 1). При внесудебном взыскании — после решения комитета по вопросам правового обеспечения и управления активами (п. 44–45); при взыскании в период судебного разбирательства, после вступления судебного акта в силу или в ходе исполнительного производства — по решению об обращении взыскания на залог (п. 32): в этих случаях извещение направляется заёмщику и залогодателю. Один экземпляр на каждого получателя.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каждый залогодатель по предмету залога; если залогодатель и заёмщик — одно лицо, экземпляр один. Орган регистрации прав на движимое или недвижимое имущество получает отдельный экземпляр при основании п. 20 пп. 1 (внесудебное и досудебное обращение взыскания); орган определяется по виду предмета залога и месту его нахождения. Адреса — из карточек субъектов и справочника органов регистрации. Экземпляр для регистрации через региональное представительство направляется ему; оно возвращает подтверждение в течение 10 рабочих дней.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20 пп. 1, п. 32, п. 45 и законодательству о залоге; образца заказчика нет. Постоянная часть — извещение о начале обращения взыскания на предмет залога, перечень неисполненных обязательств и указание, что сроки исполнения всех обязательств по кредиту наступают в день регистрации (направления) извещения независимо от условий договора.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регистрации; каждый экземпляр получает свой номер.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 правового обеспечения. Приложение: копия договора о залоге. Образец — экземпляр заёмщика-залогодателя; экземпляр органа регистрации отличается адресатом.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485"/>
        <w:gridCol w:w="5154"/>
      </w:tblGrid>
      <w:tr>
        <w:trPr/>
        <w:tc>
          <w:tcPr>
            <w:tcW w:w="448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15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адрес получателя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или справочник органов регистрации — по экземпляру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договора о залоге (соглашения о внесудебном порядке)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залога по кредиту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 залога: описание, адрес, регистрационные данные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предмета залога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обращения взыскания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комитета (номер и дата протокола) или судебный акт — выбирает куратор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Задолженность: основная сумма, проценты, штрафы, всего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исполнения требований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куратор; не раньше даты направления</w:t>
            </w:r>
          </w:p>
        </w:tc>
      </w:tr>
      <w:tr>
        <w:trPr/>
        <w:tc>
          <w:tcPr>
            <w:tcW w:w="44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15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 правового обеспечения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КЗ-04 система создаёт два экземпляра: заёмщику-залогодателю ОсОО «Ош-Текстиль» (одно лицо — один экземпляр) и органу регистрации.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Сведения о предмете залога в тексте = карточке предмета залога КЗ-04; договор о залоге № 21-5/203-З1 от 09.09.2021.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Суммы задолженности = расчёту кредита КЗ-04 № 21-5/203 на дату бланка; основная сумма в извещении — весь остаток 3 600 000,00, в том числе просроченная 800 000,00.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После регистрации извещения в карточке кредита появляется фаза взыскания «Извещение» с суммой, датой и реквизитами договоров.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При внесудебном порядке бланк недоступен, пока по кредиту нет решения комитета.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