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12-04/1193</w:t>
      </w:r>
      <w:r>
        <w:rPr/>
        <w:t xml:space="preserve"> от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99"/>
        <w:gridCol w:w="4940"/>
      </w:tblGrid>
      <w:tr>
        <w:trPr/>
        <w:tc>
          <w:tcPr>
            <w:tcW w:w="46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94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ОсОО «Ак-Дан»</w:t>
            </w:r>
            <w:r>
              <w:rPr/>
              <w:br/>
            </w:r>
            <w:r>
              <w:rPr>
                <w:shd w:fill="FFF2A8" w:val="clear"/>
              </w:rPr>
              <w:t>Чуйская обл., Сокулукский р-н, с. Сокулук, ул. Фрунзе, 12</w:t>
            </w:r>
          </w:p>
        </w:tc>
      </w:tr>
    </w:tbl>
    <w:p>
      <w:pPr>
        <w:pStyle w:val="Heading1"/>
        <w:bidi w:val="0"/>
        <w:rPr/>
      </w:pPr>
      <w:r>
        <w:rPr/>
        <w:t>ГРАФИК ПОГАШЕНИЯ</w:t>
      </w:r>
    </w:p>
    <w:p>
      <w:pPr>
        <w:pStyle w:val="BodyText"/>
        <w:bidi w:val="0"/>
        <w:ind w:firstLine="709" w:left="0" w:right="0"/>
        <w:rPr/>
      </w:pPr>
      <w:r>
        <w:rPr/>
        <w:t xml:space="preserve">К кредитному договору </w:t>
      </w:r>
      <w:r>
        <w:rPr>
          <w:shd w:fill="FFF2A8" w:val="clear"/>
        </w:rPr>
        <w:t>№ 22-2/031 от 11.03.2022</w:t>
      </w:r>
      <w:r>
        <w:rPr/>
        <w:t xml:space="preserve">, транш </w:t>
      </w:r>
      <w:r>
        <w:rPr>
          <w:shd w:fill="FFF2A8" w:val="clear"/>
        </w:rPr>
        <w:t>№ 1</w:t>
      </w:r>
      <w:r>
        <w:rPr/>
        <w:t xml:space="preserve">. Сумма кредита — </w:t>
      </w:r>
      <w:r>
        <w:rPr>
          <w:shd w:fill="FFF2A8" w:val="clear"/>
        </w:rPr>
        <w:t>2 400 000,00</w:t>
      </w:r>
      <w:r>
        <w:rPr/>
        <w:t xml:space="preserve"> сом, ставка — </w:t>
      </w:r>
      <w:r>
        <w:rPr>
          <w:shd w:fill="FFF2A8" w:val="clear"/>
        </w:rPr>
        <w:t>12,50</w:t>
      </w:r>
      <w:r>
        <w:rPr/>
        <w:t xml:space="preserve"> % годовых, погашение основного долга — </w:t>
      </w:r>
      <w:r>
        <w:rPr>
          <w:shd w:fill="FFF2A8" w:val="clear"/>
        </w:rPr>
        <w:t>равными долями ежемесячно 11-го числа</w:t>
      </w:r>
      <w:r>
        <w:rPr/>
        <w:t xml:space="preserve">. Льготный период по основному долгу закончился </w:t>
      </w:r>
      <w:r>
        <w:rPr>
          <w:shd w:fill="FFF2A8" w:val="clear"/>
        </w:rPr>
        <w:t>11.09.2025</w:t>
      </w:r>
      <w:r>
        <w:rPr/>
        <w:t>: в нём уплачивались только проценты, в таблицу он не входит.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4"/>
        <w:gridCol w:w="1326"/>
        <w:gridCol w:w="1823"/>
        <w:gridCol w:w="1490"/>
        <w:gridCol w:w="1236"/>
        <w:gridCol w:w="1433"/>
        <w:gridCol w:w="1967"/>
      </w:tblGrid>
      <w:tr>
        <w:trPr/>
        <w:tc>
          <w:tcPr>
            <w:tcW w:w="36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13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платежа</w:t>
            </w:r>
          </w:p>
        </w:tc>
        <w:tc>
          <w:tcPr>
            <w:tcW w:w="182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Остаток ОД до платежа</w:t>
            </w:r>
          </w:p>
        </w:tc>
        <w:tc>
          <w:tcPr>
            <w:tcW w:w="14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Основной долг</w:t>
            </w:r>
          </w:p>
        </w:tc>
        <w:tc>
          <w:tcPr>
            <w:tcW w:w="12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Проценты</w:t>
            </w:r>
          </w:p>
        </w:tc>
        <w:tc>
          <w:tcPr>
            <w:tcW w:w="143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Всего платёж</w:t>
            </w:r>
          </w:p>
        </w:tc>
        <w:tc>
          <w:tcPr>
            <w:tcW w:w="196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Остаток ОД после платежа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11.10.2025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2 400 000,00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25 000,00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125 000,00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2 300 000,00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11.11.2025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2 300 000,00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23 958,33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123 958,33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2 200 000,00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11.12.2025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2 200 000,00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22 916,67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122 916,67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2 100 000,00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11.01.2026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2 100 000,00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21 875,00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121 875,00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2 000 000,00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11.02.2026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2 000 000,00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20 833,33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120 833,33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1 900 000,00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11.03.2026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1 900 000,00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19 791,67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119 791,67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11.04.2026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18 750,00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118 750,00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1 700 000,00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11.05.2026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1 700 000,00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17 708,33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117 708,33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1 600 000,00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11.06.2026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1 600 000,00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16 666,67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116 666,67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1 500 000,00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11.07.2026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1 500 000,00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15 625,00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115 625,00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11.08.2026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1 400 000,00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14 583,33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114 583,33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1 300 000,00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11.09.2026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1 300 000,00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13 541,67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113 541,67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1 200 000,00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11.10.2026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1 200 000,00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12 500,00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112 500,00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1 100 000,00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11.11.2026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1 100 000,00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11 458,33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111 458,33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1 000 000,00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11.12.2026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1 000 000,00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10 416,67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110 416,67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11.01.2027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9 375,00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109 375,00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11.02.2027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8 333,33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108 333,33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11.03.2027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7 291,67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107 291,67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11.04.2027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6 250,00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106 250,00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11.05.2027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5 208,33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105 208,33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11.06.2027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4 166,67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104 166,67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11.07.2027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3 125,00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103 125,00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11.08.2027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2 083,33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102 083,33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11.09.2027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1 041,67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101 041,67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182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2 400 000,00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312 500,00</w:t>
            </w:r>
          </w:p>
        </w:tc>
        <w:tc>
          <w:tcPr>
            <w:tcW w:w="143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2 712 500,00</w:t>
            </w:r>
          </w:p>
        </w:tc>
        <w:tc>
          <w:tcPr>
            <w:tcW w:w="196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ФО-42 «График погашения»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ФО-42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График погашения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График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¶61, ¶418, ¶872–874; ТЗ 05; старая система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старая система, выгрузка графика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Показать заёмщику действующий график погашения: даты и суммы каждого платежа до конца срока.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запросу заёмщика или куратора, а также после изменения графика (допсоглашение, реструктуризация). Формируется по одному траншу кредита на текущую дату.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Лицо в роли «заёмщик» по кредиту; адрес — юридический адрес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старой системы (выгрузка графика) и ТЗ кредита: таблица платежей без изменений. Постоянная часть — заголовок и условия расчёта (ставка, метод погашения).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Таблица на всю ширину; длинный график переносится на следующие листы с повтором шапки таблицы. Подпись директора департамента, ведущего кредит.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317"/>
        <w:gridCol w:w="3322"/>
      </w:tblGrid>
      <w:tr>
        <w:trPr/>
        <w:tc>
          <w:tcPr>
            <w:tcW w:w="631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332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6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заёмщика</w:t>
            </w:r>
          </w:p>
        </w:tc>
        <w:tc>
          <w:tcPr>
            <w:tcW w:w="33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6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 заёмщика</w:t>
            </w:r>
          </w:p>
        </w:tc>
        <w:tc>
          <w:tcPr>
            <w:tcW w:w="33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юридический адрес из карточки субъекта</w:t>
            </w:r>
          </w:p>
        </w:tc>
      </w:tr>
      <w:tr>
        <w:trPr/>
        <w:tc>
          <w:tcPr>
            <w:tcW w:w="6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договора, номер транша</w:t>
            </w:r>
          </w:p>
        </w:tc>
        <w:tc>
          <w:tcPr>
            <w:tcW w:w="33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6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Ставка, метод погашения, периодичность</w:t>
            </w:r>
          </w:p>
        </w:tc>
        <w:tc>
          <w:tcPr>
            <w:tcW w:w="33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действующие условия транша на дату бланка</w:t>
            </w:r>
          </w:p>
        </w:tc>
      </w:tr>
      <w:tr>
        <w:trPr/>
        <w:tc>
          <w:tcPr>
            <w:tcW w:w="63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Строки графика: дата, остаток до платежа, основной долг, проценты, всего, остаток после платежа</w:t>
            </w:r>
          </w:p>
        </w:tc>
        <w:tc>
          <w:tcPr>
            <w:tcW w:w="33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действующая версия графика транша</w:t>
            </w:r>
          </w:p>
        </w:tc>
      </w:tr>
      <w:tr>
        <w:trPr/>
        <w:tc>
          <w:tcPr>
            <w:tcW w:w="631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332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Строки графика совпадают со вкладкой «График» карточки кредита: те же даты и суммы (таблица начинается с первого платежа по основному долгу, льготный период в неё не входит).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«Основной долг» в строке «Итого» = сумме кредита (транша), если график охватывает весь срок; «Всего» = основной долг + проценты в каждой строке.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Остаток после платежа в последней строке = 0,00; остаток после платежа 11.09.2026 = 1 200 000,00 = остатку в карточке кредита на 01.10.2026.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Для КЗ-01 в графике кредита № 22-2/031 24 платежа, первый — 11.10.2025, последний — 11.09.2027; на 01.10.2026 оплачено 12, ближайший — 11.10.2026.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ФО-42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