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l"/>
        <w:bidi w:val="0"/>
        <w:ind w:hanging="0" w:left="0" w:right="0"/>
        <w:jc w:val="left"/>
        <w:rPr/>
      </w:pPr>
      <w:r>
        <w:rPr/>
        <w:t xml:space="preserve">КРЕДИТНЫЙ ДОГОВОР № </w:t>
      </w:r>
      <w:r>
        <w:rPr>
          <w:shd w:fill="FFF2A8" w:val="clear"/>
        </w:rPr>
        <w:t>26-5/090</w:t>
      </w:r>
    </w:p>
    <w:p>
      <w:pPr>
        <w:pStyle w:val="BodyTextl"/>
        <w:bidi w:val="0"/>
        <w:ind w:hanging="0" w:left="0" w:right="0"/>
        <w:jc w:val="left"/>
        <w:rPr/>
      </w:pPr>
      <w:r>
        <w:rPr>
          <w:shd w:fill="FFF2A8" w:val="clear"/>
        </w:rPr>
        <w:t>г. Бишкек</w:t>
      </w:r>
      <w:r>
        <w:rPr/>
        <w:t xml:space="preserve">, </w:t>
      </w:r>
      <w:r>
        <w:rPr>
          <w:shd w:fill="FFF2A8" w:val="clear"/>
        </w:rPr>
        <w:t>08.09.2026</w:t>
      </w:r>
    </w:p>
    <w:p>
      <w:pPr>
        <w:pStyle w:val="BodyTextl"/>
        <w:bidi w:val="0"/>
        <w:ind w:hanging="0" w:left="0" w:right="0"/>
        <w:jc w:val="left"/>
        <w:rPr/>
      </w:pPr>
      <w:r>
        <w:rPr/>
        <w:t> </w:t>
      </w:r>
    </w:p>
    <w:tbl>
      <w:tblPr>
        <w:tblW w:w="96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975"/>
        <w:gridCol w:w="5664"/>
      </w:tblGrid>
      <w:tr>
        <w:trPr/>
        <w:tc>
          <w:tcPr>
            <w:tcW w:w="39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566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ОАО «Госфинхолдинг», именуемое в дальнейшем «Кредитор», в лице </w:t>
            </w:r>
            <w:r>
              <w:rPr>
                <w:shd w:fill="FFF2A8" w:val="clear"/>
              </w:rPr>
              <w:t>Председателя Правления Фамилия И. О.</w:t>
            </w:r>
            <w:r>
              <w:rPr/>
              <w:t xml:space="preserve">, действующего на основании </w:t>
            </w:r>
            <w:r>
              <w:rPr>
                <w:shd w:fill="FFF2A8" w:val="clear"/>
              </w:rPr>
              <w:t>Устава</w:t>
            </w:r>
            <w:r>
              <w:rPr/>
              <w:t xml:space="preserve">, с одной стороны, и </w:t>
            </w:r>
            <w:r>
              <w:rPr>
                <w:shd w:fill="FFF2A8" w:val="clear"/>
              </w:rPr>
              <w:t>ОсОО «Достук Строй»</w:t>
            </w:r>
            <w:r>
              <w:rPr/>
              <w:t xml:space="preserve">, </w:t>
            </w:r>
            <w:r>
              <w:rPr>
                <w:shd w:fill="FFF2A8" w:val="clear"/>
              </w:rPr>
              <w:t>Баткенская обл., Кадамжайский р-н, г. Кадамжай, ул. Ленина, 3</w:t>
            </w:r>
            <w:r>
              <w:rPr/>
              <w:t xml:space="preserve">, именуемое в дальнейшем «Заёмщик», в лице </w:t>
            </w:r>
            <w:r>
              <w:rPr>
                <w:shd w:fill="FFF2A8" w:val="clear"/>
              </w:rPr>
              <w:t>директора Фамилия И. О.</w:t>
            </w:r>
            <w:r>
              <w:rPr/>
              <w:t xml:space="preserve">, действующего на основании </w:t>
            </w:r>
            <w:r>
              <w:rPr>
                <w:shd w:fill="FFF2A8" w:val="clear"/>
              </w:rPr>
              <w:t>Устава</w:t>
            </w:r>
            <w:r>
              <w:rPr/>
              <w:t>, с другой стороны, заключили настоящий Кредитный договор (далее — Договор) о нижеследующем:</w:t>
            </w:r>
          </w:p>
        </w:tc>
      </w:tr>
    </w:tbl>
    <w:p>
      <w:pPr>
        <w:pStyle w:val="Heading1"/>
        <w:bidi w:val="0"/>
        <w:rPr/>
      </w:pPr>
      <w:r>
        <w:rPr/>
        <w:t>КРЕДИТНЫЙ ДОГОВОР</w:t>
      </w:r>
    </w:p>
    <w:p>
      <w:pPr>
        <w:pStyle w:val="BodyText"/>
        <w:bidi w:val="0"/>
        <w:ind w:firstLine="709" w:left="0" w:right="0"/>
        <w:rPr/>
      </w:pPr>
      <w:r>
        <w:rPr/>
        <w:t>1. Предмет Договора</w:t>
      </w:r>
    </w:p>
    <w:p>
      <w:pPr>
        <w:pStyle w:val="BodyText"/>
        <w:bidi w:val="0"/>
        <w:ind w:firstLine="709" w:left="0" w:right="0"/>
        <w:rPr/>
      </w:pPr>
      <w:r>
        <w:rPr/>
        <w:t xml:space="preserve">1.1. Договор составлен в соответствии с </w:t>
      </w:r>
      <w:r>
        <w:rPr>
          <w:shd w:fill="FFF2A8" w:val="clear"/>
        </w:rPr>
        <w:t>протоколом комиссии по заявкам № 7 от 20.08.2026</w:t>
      </w:r>
      <w:r>
        <w:rPr/>
        <w:t>.</w:t>
      </w:r>
    </w:p>
    <w:p>
      <w:pPr>
        <w:pStyle w:val="BodyText"/>
        <w:bidi w:val="0"/>
        <w:ind w:firstLine="709" w:left="0" w:right="0"/>
        <w:rPr/>
      </w:pPr>
      <w:r>
        <w:rPr/>
        <w:t xml:space="preserve">1.2. Предметом Договора является предоставление Заёмщику бюджетного кредита для </w:t>
      </w:r>
      <w:r>
        <w:rPr>
          <w:shd w:fill="FFF2A8" w:val="clear"/>
        </w:rPr>
        <w:t>строительства цеха по переработке плодоовощной продукции</w:t>
      </w:r>
      <w:r>
        <w:rPr/>
        <w:t xml:space="preserve"> в виде </w:t>
      </w:r>
      <w:r>
        <w:rPr>
          <w:shd w:fill="FFF2A8" w:val="clear"/>
        </w:rPr>
        <w:t>денежных средств в сумме 1 500 000,00 (один миллион пятьсот тысяч) сом</w:t>
      </w:r>
      <w:r>
        <w:rPr/>
        <w:t>.</w:t>
      </w:r>
    </w:p>
    <w:p>
      <w:pPr>
        <w:pStyle w:val="BodyText"/>
        <w:bidi w:val="0"/>
        <w:ind w:firstLine="709" w:left="0" w:right="0"/>
        <w:rPr/>
      </w:pPr>
      <w:r>
        <w:rPr/>
        <w:t>2. Условия Договора</w:t>
      </w:r>
    </w:p>
    <w:p>
      <w:pPr>
        <w:pStyle w:val="BodyText"/>
        <w:bidi w:val="0"/>
        <w:ind w:firstLine="709" w:left="0" w:right="0"/>
        <w:rPr/>
      </w:pPr>
      <w:r>
        <w:rPr/>
        <w:t>2.1. Бюджетный кредит предоставляется на условиях целевого использования, обеспеченности, срочности и возвратности.</w:t>
      </w:r>
    </w:p>
    <w:p>
      <w:pPr>
        <w:pStyle w:val="BodyText"/>
        <w:bidi w:val="0"/>
        <w:ind w:firstLine="709" w:left="0" w:right="0"/>
        <w:rPr/>
      </w:pPr>
      <w:r>
        <w:rPr/>
        <w:t xml:space="preserve">2.2. Бюджетный кредит выдаётся под </w:t>
      </w:r>
      <w:r>
        <w:rPr>
          <w:shd w:fill="FFF2A8" w:val="clear"/>
        </w:rPr>
        <w:t>залог недвижимого имущества по договору о залоге № 26-5/090-З1 от 08.09.2026</w:t>
      </w:r>
      <w:r>
        <w:rPr/>
        <w:t>.</w:t>
      </w:r>
    </w:p>
    <w:p>
      <w:pPr>
        <w:pStyle w:val="BodyText"/>
        <w:bidi w:val="0"/>
        <w:ind w:firstLine="709" w:left="0" w:right="0"/>
        <w:rPr/>
      </w:pPr>
      <w:r>
        <w:rPr/>
        <w:t xml:space="preserve">2.3. Процентная ставка — </w:t>
      </w:r>
      <w:r>
        <w:rPr>
          <w:shd w:fill="FFF2A8" w:val="clear"/>
        </w:rPr>
        <w:t>6,00</w:t>
      </w:r>
      <w:r>
        <w:rPr/>
        <w:t xml:space="preserve"> процентов годовых. Проценты начисляются с даты перечисления денежных средств на счёт бюджетного кредита Заёмщика, предназначенный исключительно для получения и расходования средств кредита.</w:t>
      </w:r>
    </w:p>
    <w:p>
      <w:pPr>
        <w:pStyle w:val="BodyText"/>
        <w:bidi w:val="0"/>
        <w:ind w:firstLine="709" w:left="0" w:right="0"/>
        <w:rPr/>
      </w:pPr>
      <w:r>
        <w:rPr/>
        <w:t xml:space="preserve">2.4. Срок погашения — </w:t>
      </w:r>
      <w:r>
        <w:rPr>
          <w:shd w:fill="FFF2A8" w:val="clear"/>
        </w:rPr>
        <w:t>15.09.2029</w:t>
      </w:r>
      <w:r>
        <w:rPr/>
        <w:t>. Погашение производится по срочному обязательству (графику погашения), являющемуся неотъемлемой частью Договора.</w:t>
      </w:r>
    </w:p>
    <w:p>
      <w:pPr>
        <w:pStyle w:val="BodyText"/>
        <w:bidi w:val="0"/>
        <w:ind w:firstLine="709" w:left="0" w:right="0"/>
        <w:rPr/>
      </w:pPr>
      <w:r>
        <w:rPr/>
        <w:t xml:space="preserve">2.5. Возврат производится денежными средствами на расчётный счёт: БИК </w:t>
      </w:r>
      <w:r>
        <w:rPr>
          <w:shd w:fill="FFF2A8" w:val="clear"/>
        </w:rPr>
        <w:t>128001</w:t>
      </w:r>
      <w:r>
        <w:rPr/>
        <w:t xml:space="preserve">; банк плательщика </w:t>
      </w:r>
      <w:r>
        <w:rPr>
          <w:shd w:fill="FFF2A8" w:val="clear"/>
        </w:rPr>
        <w:t>ОАО «Банк Заёмщика»</w:t>
      </w:r>
      <w:r>
        <w:rPr/>
        <w:t xml:space="preserve">; получатель </w:t>
      </w:r>
      <w:r>
        <w:rPr>
          <w:shd w:fill="FFF2A8" w:val="clear"/>
        </w:rPr>
        <w:t>ОАО «Госфинхолдинг», р/с 1280016030145522, Центральное казначейство МФ КР</w:t>
      </w:r>
      <w:r>
        <w:rPr/>
        <w:t xml:space="preserve">; назначение </w:t>
      </w:r>
      <w:r>
        <w:rPr>
          <w:shd w:fill="FFF2A8" w:val="clear"/>
        </w:rPr>
        <w:t>Погашение бюджетного кредита по договору № 26-5/090 от 08.09.2026</w:t>
      </w:r>
      <w:r>
        <w:rPr/>
        <w:t xml:space="preserve">; код платежа </w:t>
      </w:r>
      <w:r>
        <w:rPr>
          <w:shd w:fill="FFF2A8" w:val="clear"/>
        </w:rPr>
        <w:t>14231100</w:t>
      </w:r>
      <w:r>
        <w:rPr/>
        <w:t>.</w:t>
      </w:r>
    </w:p>
    <w:p>
      <w:pPr>
        <w:pStyle w:val="BodyText"/>
        <w:bidi w:val="0"/>
        <w:ind w:firstLine="709" w:left="0" w:right="0"/>
        <w:rPr/>
      </w:pPr>
      <w:r>
        <w:rPr/>
        <w:t>2.6. Бюджетный кредит выдаётся после нотариального оформления договора о залоге и его регистрации в органах государственной регистрации.</w:t>
      </w:r>
    </w:p>
    <w:p>
      <w:pPr>
        <w:pStyle w:val="BodyText"/>
        <w:bidi w:val="0"/>
        <w:ind w:firstLine="709" w:left="0" w:right="0"/>
        <w:rPr/>
      </w:pPr>
      <w:r>
        <w:rPr/>
        <w:t>3. Обязанности Кредитора</w:t>
      </w:r>
    </w:p>
    <w:p>
      <w:pPr>
        <w:pStyle w:val="BodyText"/>
        <w:bidi w:val="0"/>
        <w:ind w:firstLine="709" w:left="0" w:right="0"/>
        <w:rPr/>
      </w:pPr>
      <w:r>
        <w:rPr/>
        <w:t xml:space="preserve">3.1. Предоставить Заёмщику бюджетный кредит для </w:t>
      </w:r>
      <w:r>
        <w:rPr>
          <w:shd w:fill="FFF2A8" w:val="clear"/>
        </w:rPr>
        <w:t>строительства цеха по переработке плодоовощной продукции</w:t>
      </w:r>
      <w:r>
        <w:rPr/>
        <w:t xml:space="preserve"> в виде </w:t>
      </w:r>
      <w:r>
        <w:rPr>
          <w:shd w:fill="FFF2A8" w:val="clear"/>
        </w:rPr>
        <w:t>денежных средств в сумме 1 500 000,00 сом</w:t>
      </w:r>
      <w:r>
        <w:rPr/>
        <w:t xml:space="preserve"> на условиях Договора.</w:t>
      </w:r>
    </w:p>
    <w:p>
      <w:pPr>
        <w:pStyle w:val="BodyText"/>
        <w:bidi w:val="0"/>
        <w:ind w:firstLine="709" w:left="0" w:right="0"/>
        <w:rPr/>
      </w:pPr>
      <w:r>
        <w:rPr/>
        <w:t>4. Обязанности Заёмщика</w:t>
      </w:r>
    </w:p>
    <w:p>
      <w:pPr>
        <w:pStyle w:val="BodyText"/>
        <w:bidi w:val="0"/>
        <w:ind w:firstLine="709" w:left="0" w:right="0"/>
        <w:rPr/>
      </w:pPr>
      <w:r>
        <w:rPr/>
        <w:t xml:space="preserve">4.1. В </w:t>
      </w:r>
      <w:r>
        <w:rPr>
          <w:shd w:fill="FFF2A8" w:val="clear"/>
        </w:rPr>
        <w:t>семидневный</w:t>
      </w:r>
      <w:r>
        <w:rPr/>
        <w:t xml:space="preserve"> срок с момента подписания Договора нотариально оформить договор о залоге и зарегистрировать его в органах государственной регистрации.</w:t>
      </w:r>
    </w:p>
    <w:p>
      <w:pPr>
        <w:pStyle w:val="BodyText"/>
        <w:bidi w:val="0"/>
        <w:ind w:firstLine="709" w:left="0" w:right="0"/>
        <w:rPr/>
      </w:pPr>
      <w:r>
        <w:rPr/>
        <w:t>4.2. Использовать кредит исключительно по целевому назначению; передавать кредит другим лицам запрещается.</w:t>
      </w:r>
    </w:p>
    <w:p>
      <w:pPr>
        <w:pStyle w:val="BodyText"/>
        <w:bidi w:val="0"/>
        <w:ind w:firstLine="709" w:left="0" w:right="0"/>
        <w:rPr/>
      </w:pPr>
      <w:r>
        <w:rPr/>
        <w:t>4.3. Не применяется: кредит выдаётся денежными средствами (при выдаче в натуре оформляется акт приёма-передачи).</w:t>
      </w:r>
    </w:p>
    <w:p>
      <w:pPr>
        <w:pStyle w:val="BodyText"/>
        <w:bidi w:val="0"/>
        <w:ind w:firstLine="709" w:left="0" w:right="0"/>
        <w:rPr/>
      </w:pPr>
      <w:r>
        <w:rPr/>
        <w:t>4.4. По первому требованию Кредитора представлять отчётность и информацию о финансово-экономической и производственной деятельности и о ходе реализации проекта.</w:t>
      </w:r>
    </w:p>
    <w:p>
      <w:pPr>
        <w:pStyle w:val="BodyText"/>
        <w:bidi w:val="0"/>
        <w:ind w:firstLine="709" w:left="0" w:right="0"/>
        <w:rPr/>
      </w:pPr>
      <w:r>
        <w:rPr/>
        <w:t>4.5. Погасить задолженность перечислением на расчётный счёт, указанный в п. 2.5.</w:t>
      </w:r>
    </w:p>
    <w:p>
      <w:pPr>
        <w:pStyle w:val="BodyText"/>
        <w:bidi w:val="0"/>
        <w:ind w:firstLine="709" w:left="0" w:right="0"/>
        <w:rPr/>
      </w:pPr>
      <w:r>
        <w:rPr/>
        <w:t xml:space="preserve">4.6. При просрочке платежа уплачивать финансовые санкции (неустойку) в размере </w:t>
      </w:r>
      <w:r>
        <w:rPr>
          <w:shd w:fill="FFF2A8" w:val="clear"/>
        </w:rPr>
        <w:t>12,00</w:t>
      </w:r>
      <w:r>
        <w:rPr/>
        <w:t xml:space="preserve"> процентов годовых на просроченную сумму.</w:t>
      </w:r>
    </w:p>
    <w:p>
      <w:pPr>
        <w:pStyle w:val="BodyText"/>
        <w:bidi w:val="0"/>
        <w:ind w:firstLine="709" w:left="0" w:right="0"/>
        <w:rPr/>
      </w:pPr>
      <w:r>
        <w:rPr/>
        <w:t>4.7–4.10. Сообщать о смене руководителя и об изменении реквизитов в течение пяти дней; по требованию Кредитора подписывать акт сверки задолженности; отвечать по обязательствам Договора всем своим имуществом и денежными средствами (полный текст — приложение 5 к Положению).</w:t>
      </w:r>
    </w:p>
    <w:p>
      <w:pPr>
        <w:pStyle w:val="BodyText"/>
        <w:bidi w:val="0"/>
        <w:ind w:firstLine="709" w:left="0" w:right="0"/>
        <w:rPr/>
      </w:pPr>
      <w:r>
        <w:rPr/>
        <w:t>5. Права Кредитора</w:t>
      </w:r>
    </w:p>
    <w:p>
      <w:pPr>
        <w:pStyle w:val="BodyText"/>
        <w:bidi w:val="0"/>
        <w:ind w:firstLine="709" w:left="0" w:right="0"/>
        <w:rPr/>
      </w:pPr>
      <w:r>
        <w:rPr/>
        <w:t>5.1–5.5. Прекратить выдачу кредита при недостоверной информации или уклонении от оформления залога; досрочно взыскать остаток кредита (просрочка очередной части свыше 180 дней, нарушение условий залога, воспрепятствование контролю, нецелевое использование); без уведомления проверять целевое использование и состояние залога; обратить взыскание на залог при неисполнении обязательства в срок по п. 2.4; требовать надлежащего исполнения Договора (полный текст — приложение 5 к Положению).</w:t>
      </w:r>
    </w:p>
    <w:p>
      <w:pPr>
        <w:pStyle w:val="BodyText"/>
        <w:bidi w:val="0"/>
        <w:ind w:firstLine="709" w:left="0" w:right="0"/>
        <w:rPr/>
      </w:pPr>
      <w:r>
        <w:rPr/>
        <w:t xml:space="preserve">5.6. </w:t>
      </w:r>
      <w:r>
        <w:rPr>
          <w:shd w:fill="FFF2A8" w:val="clear"/>
        </w:rPr>
        <w:t>Дополнительное условие по решению Кабинета Министров: Кредитор вправе без дополнительного распоряжения Заёмщика списывать просроченную задолженность с его счетов в банках</w:t>
      </w:r>
      <w:r>
        <w:rPr/>
        <w:t>.</w:t>
      </w:r>
    </w:p>
    <w:p>
      <w:pPr>
        <w:pStyle w:val="BodyText"/>
        <w:bidi w:val="0"/>
        <w:ind w:firstLine="709" w:left="0" w:right="0"/>
        <w:rPr/>
      </w:pPr>
      <w:r>
        <w:rPr/>
        <w:t>6. Права Заёмщика</w:t>
      </w:r>
    </w:p>
    <w:p>
      <w:pPr>
        <w:pStyle w:val="BodyText"/>
        <w:bidi w:val="0"/>
        <w:ind w:firstLine="709" w:left="0" w:right="0"/>
        <w:rPr/>
      </w:pPr>
      <w:r>
        <w:rPr/>
        <w:t>6.1. Получать информацию о текущем состоянии задолженности; досрочно погасить часть или всю задолженность; отозвать обеспечение после исполнения обязательств по Договору.</w:t>
      </w:r>
    </w:p>
    <w:p>
      <w:pPr>
        <w:pStyle w:val="BodyText"/>
        <w:bidi w:val="0"/>
        <w:ind w:firstLine="709" w:left="0" w:right="0"/>
        <w:rPr/>
      </w:pPr>
      <w:r>
        <w:rPr/>
        <w:t>7. Особые обстоятельства</w:t>
      </w:r>
    </w:p>
    <w:p>
      <w:pPr>
        <w:pStyle w:val="BodyText"/>
        <w:bidi w:val="0"/>
        <w:ind w:firstLine="709" w:left="0" w:right="0"/>
        <w:rPr/>
      </w:pPr>
      <w:r>
        <w:rPr/>
        <w:t>7.1–7.3. Начисление неустойки приостанавливается при форс-мажоре (не более 1 года) и при смерти заёмщика-физического лица; прекращается с даты судебного акта о взыскании и при превышении неустойкой 20 процентов основного долга; при реорганизации, ликвидации или смерти обязательства исполняет правопреемник (полный текст — приложение 5 к Положению).</w:t>
      </w:r>
    </w:p>
    <w:p>
      <w:pPr>
        <w:pStyle w:val="BodyText"/>
        <w:bidi w:val="0"/>
        <w:ind w:firstLine="709" w:left="0" w:right="0"/>
        <w:rPr/>
      </w:pPr>
      <w:r>
        <w:rPr/>
        <w:t>8. Заключительные положения</w:t>
      </w:r>
    </w:p>
    <w:p>
      <w:pPr>
        <w:pStyle w:val="BodyText"/>
        <w:bidi w:val="0"/>
        <w:ind w:firstLine="709" w:left="0" w:right="0"/>
        <w:rPr/>
      </w:pPr>
      <w:r>
        <w:rPr/>
        <w:t>8.1–8.6. Споры решаются претензионным порядком, затем в суде; Договор действует с момента подписания до полного исполнения обязательств; договор о залоге — неотъемлемая часть Договора; условия меняются письменным соглашением сторон; затраты на нотариальное оформление — за счёт Заёмщика; Договор составлен в 4 экземплярах: 2 — Кредитору, 1 — Заёмщику, 1 — в нотариальную контору (полный текст — приложение 5 к Положению).</w:t>
      </w:r>
    </w:p>
    <w:p>
      <w:pPr>
        <w:pStyle w:val="BodyText"/>
        <w:bidi w:val="0"/>
        <w:ind w:firstLine="709" w:left="0" w:right="0"/>
        <w:rPr/>
      </w:pPr>
      <w:r>
        <w:rPr/>
        <w:t>9. Реквизиты сторон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705"/>
        <w:gridCol w:w="5934"/>
      </w:tblGrid>
      <w:tr>
        <w:trPr/>
        <w:tc>
          <w:tcPr>
            <w:tcW w:w="3705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Кредитор: ОАО «Госфинхолдинг»</w:t>
            </w:r>
          </w:p>
        </w:tc>
        <w:tc>
          <w:tcPr>
            <w:tcW w:w="593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bidi w:val="0"/>
              <w:ind w:hanging="0" w:left="0" w:right="0"/>
              <w:rPr/>
            </w:pPr>
            <w:r>
              <w:rPr/>
              <w:t xml:space="preserve">Заёмщик: </w:t>
            </w:r>
            <w:r>
              <w:rPr>
                <w:shd w:fill="FFF2A8" w:val="clear"/>
              </w:rPr>
              <w:t>ОсОО «Достук Строй»</w:t>
            </w:r>
          </w:p>
        </w:tc>
      </w:tr>
      <w:tr>
        <w:trPr/>
        <w:tc>
          <w:tcPr>
            <w:tcW w:w="370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Адрес: </w:t>
            </w:r>
            <w:r>
              <w:rPr>
                <w:shd w:fill="FFF2A8" w:val="clear"/>
              </w:rPr>
              <w:t>г. Бишкек, ул. Орозбекова, 44</w:t>
            </w:r>
          </w:p>
        </w:tc>
        <w:tc>
          <w:tcPr>
            <w:tcW w:w="593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Адрес: </w:t>
            </w:r>
            <w:r>
              <w:rPr>
                <w:shd w:fill="FFF2A8" w:val="clear"/>
              </w:rPr>
              <w:t>Баткенская обл., Кадамжайский р-н, г. Кадамжай, ул. Ленина, 3</w:t>
            </w:r>
          </w:p>
        </w:tc>
      </w:tr>
      <w:tr>
        <w:trPr/>
        <w:tc>
          <w:tcPr>
            <w:tcW w:w="370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ОКПО </w:t>
            </w:r>
            <w:r>
              <w:rPr>
                <w:shd w:fill="FFF2A8" w:val="clear"/>
              </w:rPr>
              <w:t>27854321</w:t>
            </w:r>
          </w:p>
        </w:tc>
        <w:tc>
          <w:tcPr>
            <w:tcW w:w="593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ОКПО </w:t>
            </w:r>
            <w:r>
              <w:rPr>
                <w:shd w:fill="FFF2A8" w:val="clear"/>
              </w:rPr>
              <w:t>29561074</w:t>
            </w:r>
          </w:p>
        </w:tc>
      </w:tr>
      <w:tr>
        <w:trPr/>
        <w:tc>
          <w:tcPr>
            <w:tcW w:w="370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ИНН </w:t>
            </w:r>
            <w:r>
              <w:rPr>
                <w:shd w:fill="FFF2A8" w:val="clear"/>
              </w:rPr>
              <w:t>02301200510322</w:t>
            </w:r>
          </w:p>
        </w:tc>
        <w:tc>
          <w:tcPr>
            <w:tcW w:w="593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ИНН </w:t>
            </w:r>
            <w:r>
              <w:rPr>
                <w:shd w:fill="FFF2A8" w:val="clear"/>
              </w:rPr>
              <w:t>01507201010871</w:t>
            </w:r>
          </w:p>
        </w:tc>
      </w:tr>
      <w:tr>
        <w:trPr/>
        <w:tc>
          <w:tcPr>
            <w:tcW w:w="370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Расчётный счёт </w:t>
            </w:r>
            <w:r>
              <w:rPr>
                <w:shd w:fill="FFF2A8" w:val="clear"/>
              </w:rPr>
              <w:t>1280016030145522</w:t>
            </w:r>
          </w:p>
        </w:tc>
        <w:tc>
          <w:tcPr>
            <w:tcW w:w="593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Расчётный счёт </w:t>
            </w:r>
            <w:r>
              <w:rPr>
                <w:shd w:fill="FFF2A8" w:val="clear"/>
              </w:rPr>
              <w:t>1350016021100398</w:t>
            </w:r>
          </w:p>
        </w:tc>
      </w:tr>
      <w:tr>
        <w:trPr/>
        <w:tc>
          <w:tcPr>
            <w:tcW w:w="3705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shd w:fill="FFF2A8" w:val="clear"/>
              </w:rPr>
              <w:t>Председатель Правления</w:t>
            </w:r>
            <w:r>
              <w:rPr/>
              <w:t xml:space="preserve">, </w:t>
            </w:r>
            <w:r>
              <w:rPr>
                <w:shd w:fill="FFF2A8" w:val="clear"/>
              </w:rPr>
              <w:t>Фамилия И. О.</w:t>
            </w:r>
          </w:p>
        </w:tc>
        <w:tc>
          <w:tcPr>
            <w:tcW w:w="593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shd w:fill="FFF2A8" w:val="clear"/>
              </w:rPr>
              <w:t>Директор</w:t>
            </w:r>
            <w:r>
              <w:rPr/>
              <w:t xml:space="preserve">, </w:t>
            </w:r>
            <w:r>
              <w:rPr>
                <w:shd w:fill="FFF2A8" w:val="clear"/>
              </w:rPr>
              <w:t>Фамилия И. О.</w:t>
            </w:r>
          </w:p>
        </w:tc>
      </w:tr>
    </w:tbl>
    <w:tbl>
      <w:tblPr>
        <w:tblW w:w="761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187"/>
        <w:gridCol w:w="3426"/>
      </w:tblGrid>
      <w:tr>
        <w:trPr/>
        <w:tc>
          <w:tcPr>
            <w:tcW w:w="418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Кредитор: </w:t>
            </w:r>
            <w:r>
              <w:rPr>
                <w:shd w:fill="FFF2A8" w:val="clear"/>
              </w:rPr>
              <w:t>Председатель Правления</w:t>
            </w:r>
          </w:p>
        </w:tc>
        <w:tc>
          <w:tcPr>
            <w:tcW w:w="34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Фамилия И. О.</w:t>
            </w:r>
          </w:p>
        </w:tc>
      </w:tr>
      <w:tr>
        <w:trPr/>
        <w:tc>
          <w:tcPr>
            <w:tcW w:w="418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Заёмщик: </w:t>
            </w:r>
            <w:r>
              <w:rPr>
                <w:shd w:fill="FFF2A8" w:val="clear"/>
              </w:rPr>
              <w:t>директор</w:t>
            </w:r>
          </w:p>
        </w:tc>
        <w:tc>
          <w:tcPr>
            <w:tcW w:w="34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Фамилия И. О.</w:t>
            </w:r>
          </w:p>
        </w:tc>
      </w:tr>
    </w:tbl>
    <w:p>
      <w:pPr>
        <w:pStyle w:val="BodyTextl"/>
        <w:bidi w:val="0"/>
        <w:ind w:hanging="0" w:left="0" w:right="0"/>
        <w:jc w:val="left"/>
        <w:rPr/>
      </w:pPr>
      <w:r>
        <w:br w:type="page"/>
      </w:r>
      <w:r>
        <w:rPr/>
        <w:t> </w:t>
      </w:r>
    </w:p>
    <w:p>
      <w:pPr>
        <w:pStyle w:val="Heading2"/>
        <w:bidi w:val="0"/>
        <w:jc w:val="left"/>
        <w:rPr/>
      </w:pPr>
      <w:r>
        <w:rPr/>
        <w:t>ФО-44 «Кредитный договор» — описание бланка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698"/>
        <w:gridCol w:w="6940"/>
      </w:tblGrid>
      <w:tr>
        <w:trPr/>
        <w:tc>
          <w:tcPr>
            <w:tcW w:w="269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Номер</w:t>
            </w:r>
          </w:p>
        </w:tc>
        <w:tc>
          <w:tcPr>
            <w:tcW w:w="694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ФО-44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Кредитный договор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Часть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Бланк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Модуль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Кредит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заёмщик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Язык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рус, кырг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Основание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оф. ТЗ ¶345, ¶375–376; ТЗ 02; старая система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Образец-основа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старая система «Шаблон договора (200 т.с.)», «Шаблон договора (50 т.с.)»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Зачем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Кредитный договор между Холдингом и заёмщиком по форме приложения 5 к Положению о работе с бюджетными кредитами: печатается из кредита в состоянии «Проект», остаётся в карточке после подписания.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Когда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Когда кредит заведён в состоянии «Проект» и согласованы существенные условия (решение Кабинета Министров или комиссии по заявке). Формируется по одному кредиту; до подписи можно переформировать.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 и адрес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Заёмщик — лицо в роли «заёмщик» по кредиту; реквизиты и адрес — из карточки субъекта. Поручитель и залогодатель вносятся в текст, если они есть у кредита.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Текст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Форма обязательна: Положение о работе с бюджетными кредитами (ПКМ №14), п. 32 и приложение 5 «Кредитный договор». Разделы и их порядок — как в приложении: 1 предмет; 2 условия; 3 обязанности Кредитора; 4 обязанности Заёмщика; 5 права Кредитора; 6 права Заёмщика; 7 особые обстоятельства; 8 заключительные положения; 9 реквизиты сторон. Постоянный текст разделов 2.1, 3–8 — из приложения 5; в образце длинные пункты даны сокращённо, полный текст — приложение 5. Подставляются условия кредита (поля ниже). Дополнительные условия по решению Кабинета Министров (п. 32) вносятся отдельными пунктами раздела 5. Пункт 4.3 включается, только если кредит выдаётся в натуре. Одна форма для всех сумм.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Регистрационный номер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 присваивается журналом документооборота: номер договора — реквизит кредита, он стоит в тексте до подписи.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Формат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А4 книжная, docx и pdf. Подписи и печати сторон (раздел 9); приложения — график погашения, перечень обеспечения; 4 экземпляра по п. 8.6.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⚠ </w:t>
            </w:r>
            <w:r>
              <w:rPr>
                <w:b/>
              </w:rPr>
              <w:t>Нужно от заказчика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Кыргызский текст</w:t>
            </w:r>
          </w:p>
        </w:tc>
      </w:tr>
    </w:tbl>
    <w:p>
      <w:pPr>
        <w:pStyle w:val="Heading3"/>
        <w:bidi w:val="0"/>
        <w:jc w:val="left"/>
        <w:rPr/>
      </w:pPr>
      <w:r>
        <w:rPr/>
        <w:t>Что подставляется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4953"/>
        <w:gridCol w:w="4686"/>
      </w:tblGrid>
      <w:tr>
        <w:trPr/>
        <w:tc>
          <w:tcPr>
            <w:tcW w:w="4953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Значение</w:t>
            </w:r>
          </w:p>
        </w:tc>
        <w:tc>
          <w:tcPr>
            <w:tcW w:w="468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Откуда</w:t>
            </w:r>
          </w:p>
        </w:tc>
      </w:tr>
      <w:tr>
        <w:trPr/>
        <w:tc>
          <w:tcPr>
            <w:tcW w:w="495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Номер и дата договора, город</w:t>
            </w:r>
          </w:p>
        </w:tc>
        <w:tc>
          <w:tcPr>
            <w:tcW w:w="46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номер и дата — реквизиты кредита, присваиваются до подписи; город — место заключения</w:t>
            </w:r>
          </w:p>
        </w:tc>
      </w:tr>
      <w:tr>
        <w:trPr/>
        <w:tc>
          <w:tcPr>
            <w:tcW w:w="495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Стороны: наименование, местонахождение, должность и Ф. И. О. подписанта, документ-основание полномочий</w:t>
            </w:r>
          </w:p>
        </w:tc>
        <w:tc>
          <w:tcPr>
            <w:tcW w:w="46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справочник подписантов Холдинга; карточка субъекта заёмщика</w:t>
            </w:r>
          </w:p>
        </w:tc>
      </w:tr>
      <w:tr>
        <w:trPr/>
        <w:tc>
          <w:tcPr>
            <w:tcW w:w="495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Решение, на основании которого составлен договор (п. 1.1)</w:t>
            </w:r>
          </w:p>
        </w:tc>
        <w:tc>
          <w:tcPr>
            <w:tcW w:w="46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решение Кабинета Министров или протокол комиссии по заявке: вид, номер, дата</w:t>
            </w:r>
          </w:p>
        </w:tc>
      </w:tr>
      <w:tr>
        <w:trPr/>
        <w:tc>
          <w:tcPr>
            <w:tcW w:w="495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Цель кредита; вид, сумма (числом и прописью), валюта (пп. 1.2, 3.1)</w:t>
            </w:r>
          </w:p>
        </w:tc>
        <w:tc>
          <w:tcPr>
            <w:tcW w:w="46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заявка, решение, карточка кредита</w:t>
            </w:r>
          </w:p>
        </w:tc>
      </w:tr>
      <w:tr>
        <w:trPr/>
        <w:tc>
          <w:tcPr>
            <w:tcW w:w="495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Вид обеспечения (п. 2.2)</w:t>
            </w:r>
          </w:p>
        </w:tc>
        <w:tc>
          <w:tcPr>
            <w:tcW w:w="46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обеспечительные договоры кредита: залог, поручительство</w:t>
            </w:r>
          </w:p>
        </w:tc>
      </w:tr>
      <w:tr>
        <w:trPr/>
        <w:tc>
          <w:tcPr>
            <w:tcW w:w="495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Процентная ставка (п. 2.3)</w:t>
            </w:r>
          </w:p>
        </w:tc>
        <w:tc>
          <w:tcPr>
            <w:tcW w:w="46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условия кредита (журнал условий)</w:t>
            </w:r>
          </w:p>
        </w:tc>
      </w:tr>
      <w:tr>
        <w:trPr/>
        <w:tc>
          <w:tcPr>
            <w:tcW w:w="495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Срок погашения — дата (п. 2.4); график погашения</w:t>
            </w:r>
          </w:p>
        </w:tc>
        <w:tc>
          <w:tcPr>
            <w:tcW w:w="46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условия кредита; график — приложение к договору, по ФО-42</w:t>
            </w:r>
          </w:p>
        </w:tc>
      </w:tr>
      <w:tr>
        <w:trPr/>
        <w:tc>
          <w:tcPr>
            <w:tcW w:w="495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Реквизиты возврата (п. 2.5): БИК, банк плательщика, получатель, назначение, код платежа</w:t>
            </w:r>
          </w:p>
        </w:tc>
        <w:tc>
          <w:tcPr>
            <w:tcW w:w="46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справочник счетов Холдинга; назначение — по шаблону «Погашение кредита по договору № … от …»</w:t>
            </w:r>
          </w:p>
        </w:tc>
      </w:tr>
      <w:tr>
        <w:trPr/>
        <w:tc>
          <w:tcPr>
            <w:tcW w:w="495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Срок нотариального оформления залога (п. 4.1)</w:t>
            </w:r>
          </w:p>
        </w:tc>
        <w:tc>
          <w:tcPr>
            <w:tcW w:w="46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условие кредита</w:t>
            </w:r>
          </w:p>
        </w:tc>
      </w:tr>
      <w:tr>
        <w:trPr/>
        <w:tc>
          <w:tcPr>
            <w:tcW w:w="495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Вид выдачи и перечень документов акта приёма-передачи (п. 4.3)</w:t>
            </w:r>
          </w:p>
        </w:tc>
        <w:tc>
          <w:tcPr>
            <w:tcW w:w="46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кредита; пункт включается, если кредит выдаётся не деньгами</w:t>
            </w:r>
          </w:p>
        </w:tc>
      </w:tr>
      <w:tr>
        <w:trPr/>
        <w:tc>
          <w:tcPr>
            <w:tcW w:w="495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Неустойка (п. 4.6)</w:t>
            </w:r>
          </w:p>
        </w:tc>
        <w:tc>
          <w:tcPr>
            <w:tcW w:w="46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двукратная ставка по кредиту, но не менее 6 % годовых, на просроченную сумму (ПКМ №14 п. 105)</w:t>
            </w:r>
          </w:p>
        </w:tc>
      </w:tr>
      <w:tr>
        <w:trPr/>
        <w:tc>
          <w:tcPr>
            <w:tcW w:w="495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Дополнительные условия по решению Кабинета Министров (п. 32), в т. ч. право безакцептного списания</w:t>
            </w:r>
          </w:p>
        </w:tc>
        <w:tc>
          <w:tcPr>
            <w:tcW w:w="46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решение; пункт включается, если условие предусмотрено</w:t>
            </w:r>
          </w:p>
        </w:tc>
      </w:tr>
      <w:tr>
        <w:trPr/>
        <w:tc>
          <w:tcPr>
            <w:tcW w:w="4953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Реквизиты сторон (раздел 9): адрес, ОКПО, ИНН, расчётный счёт, должность, Ф. И. О.</w:t>
            </w:r>
          </w:p>
        </w:tc>
        <w:tc>
          <w:tcPr>
            <w:tcW w:w="468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справочник Холдинга; карточка субъекта заёмщика</w:t>
            </w:r>
          </w:p>
        </w:tc>
      </w:tr>
    </w:tbl>
    <w:p>
      <w:pPr>
        <w:pStyle w:val="Heading3"/>
        <w:bidi w:val="0"/>
        <w:jc w:val="left"/>
        <w:rPr/>
      </w:pPr>
      <w:r>
        <w:rPr/>
        <w:t>Правила проверки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Для КЗ-17 номер (26-5/090), дата (08.09.2026), сумма (1 500 000,00) и условия в договоре = карточке кредита на вкладке «Условия».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Разделы договора идут в порядке приложения 5: 1–9, реквизиты сторон — последним.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Неустойка в п. 4.6 = двукратная ставка кредита, но не менее 6,00 %: КЗ-17 (ставка 6,00 %) — 12,00 %; КЗ-01 (ставка 12,50 %) — 25,00 %.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Вид обеспечения в п. 2.2 соответствует обеспечительным договорам кредита; пункт 4.3 есть только при выдаче в натуре; пункт о безакцептном списании — только если условие внесено в кредит.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Приложение «График погашения» совпадает с ФО-42 по тому же кредиту.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20"/>
        <w:ind w:hanging="283" w:left="709"/>
        <w:rPr/>
      </w:pPr>
      <w:r>
        <w:rPr/>
        <w:t xml:space="preserve">Договор формируется только для кредита в состоянии «Проект»; для действующего кредита печатается сохранённый экземпляр без изменений. </w:t>
      </w:r>
    </w:p>
    <w:sectPr>
      <w:type w:val="nextPage"/>
      <w:pgSz w:w="11906" w:h="16838"/>
      <w:pgMar w:left="1417" w:right="850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240"/>
      <w:ind w:left="240" w:right="240"/>
      <w:jc w:val="center"/>
      <w:outlineLvl w:val="0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2">
    <w:name w:val="Heading 2"/>
    <w:basedOn w:val="Heading"/>
    <w:next w:val="BodyText"/>
    <w:qFormat/>
    <w:pPr>
      <w:spacing w:before="200" w:after="160"/>
      <w:outlineLvl w:val="1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240" w:after="80"/>
      <w:ind w:left="240" w:right="240"/>
      <w:outlineLvl w:val="2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  <w:jc w:val="both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l">
    <w:name w:val="Body Text.l"/>
    <w:basedOn w:val="BodyText"/>
    <w:qFormat/>
    <w:pPr>
      <w:jc w:val="lef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ФО-44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