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12-11/0377</w:t>
      </w:r>
      <w:r>
        <w:rPr/>
        <w:t xml:space="preserve"> от </w:t>
      </w:r>
      <w:r>
        <w:rPr>
          <w:shd w:fill="FFF2A8" w:val="clear"/>
        </w:rPr>
        <w:t>23.03.2026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52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61"/>
        <w:gridCol w:w="4761"/>
      </w:tblGrid>
      <w:tr>
        <w:trPr/>
        <w:tc>
          <w:tcPr>
            <w:tcW w:w="4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7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Генеральному директору </w:t>
            </w:r>
            <w:r>
              <w:rPr>
                <w:shd w:fill="FFF2A8" w:val="clear"/>
              </w:rPr>
              <w:t>ОАО «Бишкексүт»</w:t>
            </w:r>
            <w:r>
              <w:rPr/>
              <w:br/>
            </w:r>
            <w:r>
              <w:rPr>
                <w:shd w:fill="FFF2A8" w:val="clear"/>
              </w:rPr>
              <w:t>г. Бишкек, ул. Жибек Жолу, 120</w:t>
            </w:r>
          </w:p>
        </w:tc>
      </w:tr>
    </w:tbl>
    <w:p>
      <w:pPr>
        <w:pStyle w:val="Heading1"/>
        <w:bidi w:val="0"/>
        <w:rPr/>
      </w:pPr>
      <w:r>
        <w:rPr/>
        <w:t>УВЕДОМЛЕНИЕ о доплате</w:t>
      </w:r>
    </w:p>
    <w:p>
      <w:pPr>
        <w:pStyle w:val="BodyText"/>
        <w:bidi w:val="0"/>
        <w:ind w:firstLine="709" w:left="0" w:right="0"/>
        <w:rPr/>
      </w:pPr>
      <w:r>
        <w:rPr/>
        <w:t xml:space="preserve">В связи с принятием в счёт погашения задолженности имущества </w:t>
      </w:r>
      <w:r>
        <w:rPr>
          <w:shd w:fill="FFF2A8" w:val="clear"/>
        </w:rPr>
        <w:t>здание молокозавода, г. Бишкек, ул. Жибек Жолу, 120</w:t>
      </w:r>
      <w:r>
        <w:rPr/>
        <w:t xml:space="preserve"> (переход права </w:t>
      </w:r>
      <w:r>
        <w:rPr>
          <w:shd w:fill="FFF2A8" w:val="clear"/>
        </w:rPr>
        <w:t>20.03.2026</w:t>
      </w:r>
      <w:r>
        <w:rPr/>
        <w:t xml:space="preserve">) стоимость принятия </w:t>
      </w:r>
      <w:r>
        <w:rPr>
          <w:shd w:fill="FFF2A8" w:val="clear"/>
        </w:rPr>
        <w:t>4 800 000,00</w:t>
      </w:r>
      <w:r>
        <w:rPr/>
        <w:t xml:space="preserve"> сом превысила задолженность на эту дату </w:t>
      </w:r>
      <w:r>
        <w:rPr>
          <w:shd w:fill="FFF2A8" w:val="clear"/>
        </w:rPr>
        <w:t>4 250 000,00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Сумма доплаты, причитающаяся </w:t>
      </w:r>
      <w:r>
        <w:rPr>
          <w:shd w:fill="FFF2A8" w:val="clear"/>
        </w:rPr>
        <w:t>ОАО «Бишкексүт»</w:t>
      </w:r>
      <w:r>
        <w:rPr/>
        <w:t xml:space="preserve">, — </w:t>
      </w:r>
      <w:r>
        <w:rPr>
          <w:shd w:fill="FFF2A8" w:val="clear"/>
        </w:rPr>
        <w:t>550 000,00</w:t>
      </w:r>
      <w:r>
        <w:rPr/>
        <w:t xml:space="preserve"> сом. Доплата будет перечислена не позднее </w:t>
      </w:r>
      <w:r>
        <w:rPr>
          <w:shd w:fill="FFF2A8" w:val="clear"/>
        </w:rPr>
        <w:t>19.04.2026</w:t>
      </w:r>
      <w:r>
        <w:rPr/>
        <w:t xml:space="preserve"> на реквизиты: </w:t>
      </w:r>
      <w:r>
        <w:rPr>
          <w:shd w:fill="FFF2A8" w:val="clear"/>
        </w:rPr>
        <w:t>р/с 1280011230045577, ОАО «Оптима Банк», БИК 128001</w:t>
      </w:r>
      <w:r>
        <w:rPr/>
        <w:t>.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891"/>
        <w:gridCol w:w="3732"/>
        <w:gridCol w:w="3016"/>
      </w:tblGrid>
      <w:tr>
        <w:trPr/>
        <w:tc>
          <w:tcPr>
            <w:tcW w:w="289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Кредит</w:t>
            </w:r>
          </w:p>
        </w:tc>
        <w:tc>
          <w:tcPr>
            <w:tcW w:w="373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Задолженность на 20.03.2026, KGS</w:t>
            </w:r>
          </w:p>
        </w:tc>
        <w:tc>
          <w:tcPr>
            <w:tcW w:w="3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Погашено принятием, KGS</w:t>
            </w:r>
          </w:p>
        </w:tc>
      </w:tr>
      <w:tr>
        <w:trPr/>
        <w:tc>
          <w:tcPr>
            <w:tcW w:w="28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№ </w:t>
            </w:r>
            <w:r>
              <w:rPr/>
              <w:t>21-4/033 от 09.06.2021</w:t>
            </w:r>
          </w:p>
        </w:tc>
        <w:tc>
          <w:tcPr>
            <w:tcW w:w="3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4 250 000,00</w:t>
            </w:r>
          </w:p>
        </w:tc>
        <w:tc>
          <w:tcPr>
            <w:tcW w:w="3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4 250 000,00</w:t>
            </w:r>
          </w:p>
        </w:tc>
      </w:tr>
      <w:tr>
        <w:trPr/>
        <w:tc>
          <w:tcPr>
            <w:tcW w:w="289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Доплата</w:t>
            </w:r>
          </w:p>
        </w:tc>
        <w:tc>
          <w:tcPr>
            <w:tcW w:w="373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550 000,00</w:t>
            </w:r>
          </w:p>
        </w:tc>
      </w:tr>
      <w:tr>
        <w:trPr/>
        <w:tc>
          <w:tcPr>
            <w:tcW w:w="289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Всего (стоимость принятия)</w:t>
            </w:r>
          </w:p>
        </w:tc>
        <w:tc>
          <w:tcPr>
            <w:tcW w:w="373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4 800 000,00</w:t>
            </w:r>
          </w:p>
        </w:tc>
      </w:tr>
    </w:tbl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92"/>
        <w:gridCol w:w="4347"/>
      </w:tblGrid>
      <w:tr>
        <w:trPr/>
        <w:tc>
          <w:tcPr>
            <w:tcW w:w="529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 </w:t>
            </w:r>
            <w:r>
              <w:rPr>
                <w:shd w:fill="FFF2A8" w:val="clear"/>
              </w:rPr>
              <w:t>Департамента администрирования кредитов</w:t>
            </w:r>
          </w:p>
        </w:tc>
        <w:tc>
          <w:tcPr>
            <w:tcW w:w="4347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ФО-50 «Уведомление о доплате»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ФО-50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Уведомление о доплате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Имущество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источник предложения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ТЗ 22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Сообщить адресату доплаты, что стоимость принятого имущества превысила задолженность и ему причитается доплата: сумма, расчёт, срок и реквизиты.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Формируется после перехода права на принятое имущество и деления стоимости, когда остаток «не вошло» больше нуля; одновременно со срочным распоряжением на доплату. Срок исполнения доплаты — 30 календарных дней (настройка).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 доплаты по источнику: ПССИ — депозит ПССИ, специальный администратор — конкурсная масса, остальные источники — отчуждатель (не обязанное лицо).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Образца заказчика нет; текст свёрстан по ТЗ 22. Постоянная часть — основание доплаты, расчёт, срок, порядок перечисления.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А4 книжная, docx и pdf. Подпись: </w:t>
            </w:r>
            <w:r>
              <w:rPr>
                <w:shd w:fill="FFF2A8" w:val="clear"/>
              </w:rPr>
              <w:t>должность</w:t>
            </w:r>
            <w:r>
              <w:rPr/>
              <w:t>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70"/>
        <w:gridCol w:w="5569"/>
      </w:tblGrid>
      <w:tr>
        <w:trPr/>
        <w:tc>
          <w:tcPr>
            <w:tcW w:w="40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556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Адресат доплаты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определяется источником предложения; реквизиты получателя — карточка субъекта или депозит/конкурсная масса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Объект и позиция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наименование, дата перехода права, документ-основание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Стоимость принятия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 факта принятия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Задолженность на дату перехода права и распределённая сумма по кредитам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результат деления стоимости между кредитами (модуль взыскания)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Сумма доплаты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стоимость принятия − распределено («не вошло»); валюта — валюта стоимости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доплаты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перехода права + 30 календарных дней</w:t>
            </w:r>
          </w:p>
        </w:tc>
      </w:tr>
      <w:tr>
        <w:trPr/>
        <w:tc>
          <w:tcPr>
            <w:tcW w:w="40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556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директор департамента, ведущего кредит (настройка бланка)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Сумма доплаты в бланке = стоимость принятия − сумма, распределённая по кредитам.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Адресат доплаты = отчуждателю, депозиту ПССИ или конкурсной массе по источнику.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Строка «Всего (стоимость принятия)» = задолженности, погашенной принятием, плюс доплата.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КЗ-16: стоимость 4 800 000,00, долг на 20.03.2026 — 4 250 000,00, доплата 550 000,00 сом, срок до 19.04.2026.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ФО-50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