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l"/>
        <w:bidi w:val="0"/>
        <w:ind w:hanging="0" w:left="0" w:right="0"/>
        <w:jc w:val="left"/>
        <w:rPr/>
      </w:pPr>
      <w:r>
        <w:rPr/>
        <w:t>ОАО «Госфинхолдинг»</w:t>
      </w:r>
    </w:p>
    <w:p>
      <w:pPr>
        <w:pStyle w:val="BodyTextl"/>
        <w:bidi w:val="0"/>
        <w:ind w:hanging="0" w:left="0" w:right="0"/>
        <w:jc w:val="left"/>
        <w:rPr/>
      </w:pPr>
      <w:r>
        <w:rPr/>
        <w:t xml:space="preserve">Исх. № </w:t>
      </w:r>
      <w:r>
        <w:rPr>
          <w:shd w:fill="FFF2A8" w:val="clear"/>
        </w:rPr>
        <w:t>12-07/2144</w:t>
      </w:r>
      <w:r>
        <w:rPr/>
        <w:t xml:space="preserve"> от </w:t>
      </w:r>
      <w:r>
        <w:rPr>
          <w:shd w:fill="FFF2A8" w:val="clear"/>
        </w:rPr>
        <w:t>24.09.2026</w:t>
      </w:r>
    </w:p>
    <w:p>
      <w:pPr>
        <w:pStyle w:val="BodyTextl"/>
        <w:bidi w:val="0"/>
        <w:ind w:hanging="0" w:left="0" w:right="0"/>
        <w:jc w:val="left"/>
        <w:rPr/>
      </w:pPr>
      <w:r>
        <w:rPr/>
        <w:t> </w:t>
      </w:r>
    </w:p>
    <w:tbl>
      <w:tblPr>
        <w:tblW w:w="96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731"/>
        <w:gridCol w:w="4908"/>
      </w:tblGrid>
      <w:tr>
        <w:trPr/>
        <w:tc>
          <w:tcPr>
            <w:tcW w:w="47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490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  <w:t xml:space="preserve">Директору </w:t>
            </w:r>
            <w:r>
              <w:rPr>
                <w:shd w:fill="FFF2A8" w:val="clear"/>
              </w:rPr>
              <w:t>ОсОО «Ак-Булак»</w:t>
            </w:r>
            <w:r>
              <w:rPr/>
              <w:br/>
            </w:r>
            <w:r>
              <w:rPr>
                <w:shd w:fill="FFF2A8" w:val="clear"/>
              </w:rPr>
              <w:t>Ошская обл., Узгенский р-н, г. Узген, ул. Ленина, 25</w:t>
            </w:r>
          </w:p>
        </w:tc>
      </w:tr>
    </w:tbl>
    <w:p>
      <w:pPr>
        <w:pStyle w:val="Heading1"/>
        <w:bidi w:val="0"/>
        <w:rPr/>
      </w:pPr>
      <w:r>
        <w:rPr/>
        <w:t>ИЗВЕЩЕНИЕ о необходимости восполнения предмета залога</w:t>
      </w:r>
    </w:p>
    <w:p>
      <w:pPr>
        <w:pStyle w:val="BodyText"/>
        <w:bidi w:val="0"/>
        <w:ind w:firstLine="709" w:left="0" w:right="0"/>
        <w:rPr/>
      </w:pPr>
      <w:r>
        <w:rPr/>
        <w:t xml:space="preserve">По договору о залоге </w:t>
      </w:r>
      <w:r>
        <w:rPr>
          <w:shd w:fill="FFF2A8" w:val="clear"/>
        </w:rPr>
        <w:t>№ 24-6/019-З1 от 11.02.2024</w:t>
      </w:r>
      <w:r>
        <w:rPr/>
        <w:t xml:space="preserve"> обследованием </w:t>
      </w:r>
      <w:r>
        <w:rPr>
          <w:shd w:fill="FFF2A8" w:val="clear"/>
        </w:rPr>
        <w:t>18.09.2026</w:t>
      </w:r>
      <w:r>
        <w:rPr/>
        <w:t xml:space="preserve"> (акт </w:t>
      </w:r>
      <w:r>
        <w:rPr>
          <w:shd w:fill="FFF2A8" w:val="clear"/>
        </w:rPr>
        <w:t>№ АО-2026/1741</w:t>
      </w:r>
      <w:r>
        <w:rPr/>
        <w:t xml:space="preserve">) установлена утрата предмета залога: </w:t>
      </w:r>
      <w:r>
        <w:rPr>
          <w:shd w:fill="FFF2A8" w:val="clear"/>
        </w:rPr>
        <w:t>трактор МТЗ-82.1, заводской № 82-415207</w:t>
      </w:r>
      <w:r>
        <w:rPr/>
        <w:t xml:space="preserve">, залоговая стоимость </w:t>
      </w:r>
      <w:r>
        <w:rPr>
          <w:shd w:fill="FFF2A8" w:val="clear"/>
        </w:rPr>
        <w:t>700 000,00</w:t>
      </w:r>
      <w:r>
        <w:rPr/>
        <w:t xml:space="preserve"> сом.</w:t>
      </w:r>
    </w:p>
    <w:p>
      <w:pPr>
        <w:pStyle w:val="BodyText"/>
        <w:bidi w:val="0"/>
        <w:ind w:firstLine="709" w:left="0" w:right="0"/>
        <w:rPr/>
      </w:pPr>
      <w:r>
        <w:rPr/>
        <w:t xml:space="preserve">В соответствии с Положением о работе с залогом предлагаем в срок до </w:t>
      </w:r>
      <w:r>
        <w:rPr>
          <w:shd w:fill="FFF2A8" w:val="clear"/>
        </w:rPr>
        <w:t>24.10.2026</w:t>
      </w:r>
      <w:r>
        <w:rPr/>
        <w:t xml:space="preserve">: восстановить или заменить предмет залога; либо предоставить иное обеспечение, равноценное по стоимости, в необходимом объёме; либо досрочно исполнить обязательства, обеспеченные залогом, в части </w:t>
      </w:r>
      <w:r>
        <w:rPr>
          <w:shd w:fill="FFF2A8" w:val="clear"/>
        </w:rPr>
        <w:t>343 333,33</w:t>
      </w:r>
      <w:r>
        <w:rPr/>
        <w:t xml:space="preserve"> сом основного долга по кредиту </w:t>
      </w:r>
      <w:r>
        <w:rPr>
          <w:shd w:fill="FFF2A8" w:val="clear"/>
        </w:rPr>
        <w:t>№ 24-6/019 от 11.02.2024</w:t>
      </w:r>
      <w:r>
        <w:rPr/>
        <w:t>.</w:t>
      </w:r>
    </w:p>
    <w:p>
      <w:pPr>
        <w:pStyle w:val="BodyText"/>
        <w:bidi w:val="0"/>
        <w:ind w:firstLine="709" w:left="0" w:right="0"/>
        <w:rPr/>
      </w:pPr>
      <w:r>
        <w:rPr/>
        <w:t>При невыполнении в срок или отказе материалы будут направлены для принудительного взыскания задолженности досрочно.</w:t>
      </w:r>
    </w:p>
    <w:p>
      <w:pPr>
        <w:pStyle w:val="BodyText"/>
        <w:bidi w:val="0"/>
        <w:ind w:firstLine="709" w:left="0" w:right="0"/>
        <w:rPr/>
      </w:pPr>
      <w:r>
        <w:rPr/>
        <w:t xml:space="preserve">Отметка о вручении: </w:t>
      </w:r>
      <w:r>
        <w:rPr>
          <w:shd w:fill="FFF2A8" w:val="clear"/>
        </w:rPr>
        <w:t>дата вручения</w:t>
      </w:r>
      <w:r>
        <w:rPr/>
        <w:t>, подпись залогодателя ______________.</w:t>
      </w:r>
    </w:p>
    <w:tbl>
      <w:tblPr>
        <w:tblW w:w="884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862"/>
        <w:gridCol w:w="3978"/>
      </w:tblGrid>
      <w:tr>
        <w:trPr/>
        <w:tc>
          <w:tcPr>
            <w:tcW w:w="486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Заведующий отделом залогового обеспечения</w:t>
            </w:r>
          </w:p>
        </w:tc>
        <w:tc>
          <w:tcPr>
            <w:tcW w:w="3978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/>
            </w:pPr>
            <w:r>
              <w:rPr/>
              <w:t xml:space="preserve">______________ </w:t>
            </w:r>
            <w:r>
              <w:rPr>
                <w:shd w:fill="FFF2A8" w:val="clear"/>
              </w:rPr>
              <w:t>Фамилия И. О.</w:t>
            </w:r>
          </w:p>
        </w:tc>
      </w:tr>
    </w:tbl>
    <w:p>
      <w:pPr>
        <w:pStyle w:val="BodyTextl"/>
        <w:bidi w:val="0"/>
        <w:ind w:hanging="0" w:left="0" w:right="0"/>
        <w:jc w:val="left"/>
        <w:rPr/>
      </w:pPr>
      <w:r>
        <w:br w:type="page"/>
      </w:r>
      <w:r>
        <w:rPr/>
        <w:t> </w:t>
      </w:r>
    </w:p>
    <w:p>
      <w:pPr>
        <w:pStyle w:val="Heading2"/>
        <w:bidi w:val="0"/>
        <w:jc w:val="left"/>
        <w:rPr/>
      </w:pPr>
      <w:r>
        <w:rPr/>
        <w:t>ФО-62 «Извещение о восполнении (восстановлении, замене) предмета залога» — описание бланка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98"/>
        <w:gridCol w:w="6940"/>
      </w:tblGrid>
      <w:tr>
        <w:trPr/>
        <w:tc>
          <w:tcPr>
            <w:tcW w:w="269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Номер</w:t>
            </w:r>
          </w:p>
        </w:tc>
        <w:tc>
          <w:tcPr>
            <w:tcW w:w="6940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ФО-62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Извещение о восполнении (восстановлении, замене) предмета залога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Часть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Бланк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Модуль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Язык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рус, кырг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Основание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Положение №12 прил. 2 п. 2.5; ТЗ 12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Образец-основа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нет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Зачем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Известить залогодателя об утрате или ухудшении состояния предмета залога и потребовать восполнить обеспечение до обращения взыскания.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Когда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Куратор формирует после обследования с исходом «утраченное», «повреждённое», «требует ремонта» или «аварийное». Срок восполнения задаёт куратор (по умолчанию 30 календарных дней со дня извещения, ТЗ 12); при отказе или истечении срока без восполнения материалы уходят служебной запиской ФО-74 (Положение №12 прил. 2 п. 2.5). Извещение вручается под подпись.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Получатель и адрес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 по договору залога; если залогодатель и заёмщик разные лица, копия заёмщику. Адрес — из карточки субъекта.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Текст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Содержание — Положение №12 прил. 2 п. 2.5: восстановить (заменить) предмет, предоставить иное обеспечение, равноценное по стоимости в необходимом объёме, либо досрочно исполнить обеспеченные залогом обязательства (возврат соответствующей части кредита). Образца заказчика нет; текст свёрстан по этому пункту.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Регистрационный номер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Присваивается журналом исходящих документов при регистрации.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b/>
              </w:rPr>
            </w:pPr>
            <w:r>
              <w:rPr>
                <w:b/>
              </w:rPr>
              <w:t>Формат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А4 книжная, docx и pdf. Подпись заведующего отделом залогового обеспечения; отметка о вручении залогодателю в тексте. Приложение — копия акта обследования.</w:t>
            </w:r>
          </w:p>
        </w:tc>
      </w:tr>
      <w:tr>
        <w:trPr/>
        <w:tc>
          <w:tcPr>
            <w:tcW w:w="269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 </w:t>
            </w:r>
            <w:r>
              <w:rPr>
                <w:b/>
              </w:rPr>
              <w:t>Нужно от заказчика</w:t>
            </w:r>
          </w:p>
        </w:tc>
        <w:tc>
          <w:tcPr>
            <w:tcW w:w="6940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Кыргызский текст</w:t>
            </w:r>
          </w:p>
        </w:tc>
      </w:tr>
    </w:tbl>
    <w:p>
      <w:pPr>
        <w:pStyle w:val="Heading3"/>
        <w:bidi w:val="0"/>
        <w:jc w:val="left"/>
        <w:rPr/>
      </w:pPr>
      <w:r>
        <w:rPr/>
        <w:t>Что подставляется</w:t>
      </w:r>
    </w:p>
    <w:tbl>
      <w:tblPr>
        <w:tblW w:w="5000" w:type="pct"/>
        <w:jc w:val="left"/>
        <w:tblInd w:w="-7" w:type="dxa"/>
        <w:tblLayout w:type="fixed"/>
        <w:tblCellMar>
          <w:top w:w="45" w:type="dxa"/>
          <w:left w:w="45" w:type="dxa"/>
          <w:bottom w:w="45" w:type="dxa"/>
          <w:right w:w="45" w:type="dxa"/>
        </w:tblCellMar>
      </w:tblPr>
      <w:tblGrid>
        <w:gridCol w:w="2604"/>
        <w:gridCol w:w="7035"/>
      </w:tblGrid>
      <w:tr>
        <w:trPr/>
        <w:tc>
          <w:tcPr>
            <w:tcW w:w="260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Значение</w:t>
            </w:r>
          </w:p>
        </w:tc>
        <w:tc>
          <w:tcPr>
            <w:tcW w:w="703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Откуда</w:t>
            </w:r>
          </w:p>
        </w:tc>
      </w:tr>
      <w:tr>
        <w:trPr/>
        <w:tc>
          <w:tcPr>
            <w:tcW w:w="26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Залогодатель, заёмщик, адрес</w:t>
            </w:r>
          </w:p>
        </w:tc>
        <w:tc>
          <w:tcPr>
            <w:tcW w:w="70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карточка субъекта</w:t>
            </w:r>
          </w:p>
        </w:tc>
      </w:tr>
      <w:tr>
        <w:trPr/>
        <w:tc>
          <w:tcPr>
            <w:tcW w:w="26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Договор залога и предмет</w:t>
            </w:r>
          </w:p>
        </w:tc>
        <w:tc>
          <w:tcPr>
            <w:tcW w:w="70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номер, дата договора; наименование и идентификаторы предмета</w:t>
            </w:r>
          </w:p>
        </w:tc>
      </w:tr>
      <w:tr>
        <w:trPr/>
        <w:tc>
          <w:tcPr>
            <w:tcW w:w="26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Основание</w:t>
            </w:r>
          </w:p>
        </w:tc>
        <w:tc>
          <w:tcPr>
            <w:tcW w:w="70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обследование: дата, номер акта, исход (утраченное, повреждённое, требует ремонта или аварийное), документ об утрате при наличии</w:t>
            </w:r>
          </w:p>
        </w:tc>
      </w:tr>
      <w:tr>
        <w:trPr/>
        <w:tc>
          <w:tcPr>
            <w:tcW w:w="26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Срок восполнения</w:t>
            </w:r>
          </w:p>
        </w:tc>
        <w:tc>
          <w:tcPr>
            <w:tcW w:w="70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дата, которую задаёт куратор в карточке извещения; по умолчанию дата извещения + 30 календарных дней</w:t>
            </w:r>
          </w:p>
        </w:tc>
      </w:tr>
      <w:tr>
        <w:trPr/>
        <w:tc>
          <w:tcPr>
            <w:tcW w:w="26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Соответствующая часть кредита</w:t>
            </w:r>
          </w:p>
        </w:tc>
        <w:tc>
          <w:tcPr>
            <w:tcW w:w="70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часть основного долга, возврат которой восстанавливает обеспеченность на пороге; расчёт по справке об обеспеченности</w:t>
            </w:r>
          </w:p>
        </w:tc>
      </w:tr>
      <w:tr>
        <w:trPr/>
        <w:tc>
          <w:tcPr>
            <w:tcW w:w="260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Дата вручения</w:t>
            </w:r>
          </w:p>
        </w:tc>
        <w:tc>
          <w:tcPr>
            <w:tcW w:w="703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отметка о вручении под подпись отдельной строкой текста; вносится куратором</w:t>
            </w:r>
          </w:p>
        </w:tc>
      </w:tr>
      <w:tr>
        <w:trPr/>
        <w:tc>
          <w:tcPr>
            <w:tcW w:w="260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Подписант</w:t>
            </w:r>
          </w:p>
        </w:tc>
        <w:tc>
          <w:tcPr>
            <w:tcW w:w="703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заведующий отделом залогового обеспечения</w:t>
            </w:r>
          </w:p>
        </w:tc>
      </w:tr>
    </w:tbl>
    <w:p>
      <w:pPr>
        <w:pStyle w:val="Heading3"/>
        <w:bidi w:val="0"/>
        <w:jc w:val="left"/>
        <w:rPr/>
      </w:pPr>
      <w:r>
        <w:rPr/>
        <w:t>Правила проверки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Форма доступна при исходах «утраченное», «повреждённое», «требует ремонта», «аварийное»; при исходах «хорошее» и «удовлетворительное» не открывается.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Предмет, договор залога и акт в тексте = карточке предмета и журналу обследований.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rPr/>
      </w:pPr>
      <w:r>
        <w:rPr/>
        <w:t xml:space="preserve">Срок восполнения в тексте = сроку в карточке извещения (дата извещения + 30 календарных дней).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120"/>
        <w:ind w:hanging="283" w:left="709"/>
        <w:rPr/>
      </w:pPr>
      <w:r>
        <w:rPr/>
        <w:t xml:space="preserve">КЗ-14: извещение по трактору МТЗ-82.1 (акт от 18.09.2026) от 24.09.2026, срок до 24.10.2026; соответствующая часть кредита № 24-6/019 = 2 950 000,00 − 3 910 000,00 ÷ 1,5 = 343 333,33. </w:t>
      </w:r>
    </w:p>
    <w:sectPr>
      <w:type w:val="nextPage"/>
      <w:pgSz w:w="11906" w:h="16838"/>
      <w:pgMar w:left="1417" w:right="850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240"/>
      <w:ind w:left="240" w:right="240"/>
      <w:jc w:val="center"/>
      <w:outlineLvl w:val="0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2">
    <w:name w:val="Heading 2"/>
    <w:basedOn w:val="Heading"/>
    <w:next w:val="BodyText"/>
    <w:qFormat/>
    <w:pPr>
      <w:spacing w:before="200" w:after="160"/>
      <w:outlineLvl w:val="1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20"/>
      <w:jc w:val="both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l">
    <w:name w:val="Body Text.l"/>
    <w:basedOn w:val="BodyText"/>
    <w:qFormat/>
    <w:pPr>
      <w:jc w:val="left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ФО-62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