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Служебная записка № </w:t>
      </w:r>
      <w:r>
        <w:rPr>
          <w:shd w:fill="FFF2A8" w:val="clear"/>
        </w:rPr>
        <w:t>13-02/0301</w:t>
      </w:r>
      <w:r>
        <w:rPr/>
        <w:t xml:space="preserve"> от </w:t>
      </w:r>
      <w:r>
        <w:rPr>
          <w:shd w:fill="FFF2A8" w:val="clear"/>
        </w:rPr>
        <w:t>11.03.2027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16"/>
        <w:gridCol w:w="5023"/>
      </w:tblGrid>
      <w:tr>
        <w:trPr/>
        <w:tc>
          <w:tcPr>
            <w:tcW w:w="46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502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Директору Отраслевого департамента промышленности</w:t>
              <w:br/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Heading1"/>
        <w:bidi w:val="0"/>
        <w:rPr/>
      </w:pPr>
      <w:r>
        <w:rPr/>
        <w:t>СЛУЖЕБНАЯ ЗАПИСКА об исполнении судебного акта</w:t>
      </w:r>
    </w:p>
    <w:p>
      <w:pPr>
        <w:pStyle w:val="BodyText"/>
        <w:bidi w:val="0"/>
        <w:ind w:firstLine="709" w:left="0" w:right="0"/>
        <w:rPr/>
      </w:pPr>
      <w:r>
        <w:rPr/>
        <w:t xml:space="preserve">Заёмщик </w:t>
      </w:r>
      <w:r>
        <w:rPr>
          <w:shd w:fill="FFF2A8" w:val="clear"/>
        </w:rPr>
        <w:t>ОсОО «Нарын-Агро»</w:t>
      </w:r>
      <w:r>
        <w:rPr/>
        <w:t xml:space="preserve"> по кредитному договору </w:t>
      </w:r>
      <w:r>
        <w:rPr>
          <w:shd w:fill="FFF2A8" w:val="clear"/>
        </w:rPr>
        <w:t>№ 21-2/077 от 18.05.2021</w:t>
      </w:r>
      <w:r>
        <w:rPr/>
        <w:t xml:space="preserve"> исполнил </w:t>
      </w:r>
      <w:r>
        <w:rPr>
          <w:shd w:fill="FFF2A8" w:val="clear"/>
        </w:rPr>
        <w:t>решение Кочкорского районного суда от 25.05.2026, дело № 2-148/26</w:t>
      </w:r>
      <w:r>
        <w:rPr/>
        <w:t xml:space="preserve"> на всю присуждённую сумму — </w:t>
      </w:r>
      <w:r>
        <w:rPr>
          <w:shd w:fill="FFF2A8" w:val="clear"/>
        </w:rPr>
        <w:t>1 434 810,42</w:t>
      </w:r>
      <w:r>
        <w:rPr/>
        <w:t xml:space="preserve"> сом.</w:t>
      </w:r>
    </w:p>
    <w:p>
      <w:pPr>
        <w:pStyle w:val="BodyText"/>
        <w:bidi w:val="0"/>
        <w:ind w:firstLine="709" w:left="0" w:right="0"/>
        <w:rPr/>
      </w:pPr>
      <w:r>
        <w:rPr/>
        <w:t xml:space="preserve">Платежи по соглашению о добровольном исполнении № 3 от 10.09.2026 поступили </w:t>
      </w:r>
      <w:r>
        <w:rPr>
          <w:shd w:fill="FFF2A8" w:val="clear"/>
        </w:rPr>
        <w:t>10.10.2026</w:t>
      </w:r>
      <w:r>
        <w:rPr/>
        <w:t xml:space="preserve">, </w:t>
      </w:r>
      <w:r>
        <w:rPr>
          <w:shd w:fill="FFF2A8" w:val="clear"/>
        </w:rPr>
        <w:t>10.11.2026</w:t>
      </w:r>
      <w:r>
        <w:rPr/>
        <w:t xml:space="preserve">, </w:t>
      </w:r>
      <w:r>
        <w:rPr>
          <w:shd w:fill="FFF2A8" w:val="clear"/>
        </w:rPr>
        <w:t>10.12.2026</w:t>
      </w:r>
      <w:r>
        <w:rPr/>
        <w:t xml:space="preserve">, </w:t>
      </w:r>
      <w:r>
        <w:rPr>
          <w:shd w:fill="FFF2A8" w:val="clear"/>
        </w:rPr>
        <w:t>10.01.2027</w:t>
      </w:r>
      <w:r>
        <w:rPr/>
        <w:t xml:space="preserve">, </w:t>
      </w:r>
      <w:r>
        <w:rPr>
          <w:shd w:fill="FFF2A8" w:val="clear"/>
        </w:rPr>
        <w:t>10.02.2027</w:t>
      </w:r>
      <w:r>
        <w:rPr/>
        <w:t xml:space="preserve"> и </w:t>
      </w:r>
      <w:r>
        <w:rPr>
          <w:shd w:fill="FFF2A8" w:val="clear"/>
        </w:rPr>
        <w:t>10.03.2027</w:t>
      </w:r>
      <w:r>
        <w:rPr/>
        <w:t xml:space="preserve">; последний платёж внесён </w:t>
      </w:r>
      <w:r>
        <w:rPr>
          <w:shd w:fill="FFF2A8" w:val="clear"/>
        </w:rPr>
        <w:t>10.03.2027</w:t>
      </w:r>
      <w:r>
        <w:rPr/>
        <w:t>. Фаза взыскания переведена в статус «Полное погашение», процедура взыскания — в статус «Передан в отраслевые отделы».</w:t>
      </w:r>
    </w:p>
    <w:p>
      <w:pPr>
        <w:pStyle w:val="BodyText"/>
        <w:bidi w:val="0"/>
        <w:ind w:firstLine="709" w:left="0" w:right="0"/>
        <w:rPr/>
      </w:pPr>
      <w:r>
        <w:rPr/>
        <w:t>Просим в течение 3 рабочих дней подтвердить статус процедуры в АСУБК.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76"/>
        <w:gridCol w:w="4363"/>
      </w:tblGrid>
      <w:tr>
        <w:trPr/>
        <w:tc>
          <w:tcPr>
            <w:tcW w:w="5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Куратор отдела по работе с проблемными кредитами</w:t>
            </w:r>
          </w:p>
        </w:tc>
        <w:tc>
          <w:tcPr>
            <w:tcW w:w="436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ФО-70 «Служебная записка об исполнении судебного акта (полное погашение)»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ФО-70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Служебная записка об исполнении судебного акта (полное погашение)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Взыскание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внутренний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Порядок №41 п. 37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Уведомить отраслевой департамент, что должник исполнил судебный акт на всю присуждённую сумму, чтобы департамент подтвердил в АСУБК статус процедуры.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Куратор отдела по работе с проблемными кредитами формирует при исполнении должником обязательств на сумму, установленную судебным актом, в ходе исполнительного производства (Порядок №41 п. 37). Отраслевой департамент подтверждает статус в АСУБК в течение 3 рабочих дней.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Отраслевой департамент, ведущий кредит.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Текст свёрстан по Порядку №41 п. 37; образца нет. Постоянная часть — извещение об исполнении судебного акта и сведения, вносимые в фазу взыскания («Полное погашение») и в процедуру («Передан в отраслевые отделы»).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Присваивается журналом внутренних документов при регистрации.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А4 книжная, docx и pdf. Подпись куратора отдела по работе с проблемными кредитами.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4418"/>
        <w:gridCol w:w="5221"/>
      </w:tblGrid>
      <w:tr>
        <w:trPr/>
        <w:tc>
          <w:tcPr>
            <w:tcW w:w="441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522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441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Заёмщик и номер, дата кредитного договора</w:t>
            </w:r>
          </w:p>
        </w:tc>
        <w:tc>
          <w:tcPr>
            <w:tcW w:w="52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кредита</w:t>
            </w:r>
          </w:p>
        </w:tc>
      </w:tr>
      <w:tr>
        <w:trPr/>
        <w:tc>
          <w:tcPr>
            <w:tcW w:w="441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Судебный акт: вид, номер, дата, суд</w:t>
            </w:r>
          </w:p>
        </w:tc>
        <w:tc>
          <w:tcPr>
            <w:tcW w:w="52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фаза взыскания «Иск» (результат «Решение суда»)</w:t>
            </w:r>
          </w:p>
        </w:tc>
      </w:tr>
      <w:tr>
        <w:trPr/>
        <w:tc>
          <w:tcPr>
            <w:tcW w:w="441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Сумма по судебному акту</w:t>
            </w:r>
          </w:p>
        </w:tc>
        <w:tc>
          <w:tcPr>
            <w:tcW w:w="52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фаза взыскания</w:t>
            </w:r>
          </w:p>
        </w:tc>
      </w:tr>
      <w:tr>
        <w:trPr/>
        <w:tc>
          <w:tcPr>
            <w:tcW w:w="441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Даты и суммы исполнения</w:t>
            </w:r>
          </w:p>
        </w:tc>
        <w:tc>
          <w:tcPr>
            <w:tcW w:w="52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реестр платежей по кредиту</w:t>
            </w:r>
          </w:p>
        </w:tc>
      </w:tr>
      <w:tr>
        <w:trPr/>
        <w:tc>
          <w:tcPr>
            <w:tcW w:w="441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Подписант</w:t>
            </w:r>
          </w:p>
        </w:tc>
        <w:tc>
          <w:tcPr>
            <w:tcW w:w="522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куратор отдела по работе с проблемными кредитами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Бланк по КЗ-05 доступен, когда сумма поступлений по судебному акту не меньше суммы, присуждённой актом; на 01.10.2026 недоступен — платежи по соглашению № 3 начинаются 10.10.2026, последний платёж 10.03.2027.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Сумма по судебному акту и реквизиты акта = данным фазы «Иск» по КЗ-05 (решение суда от 25.05.2026).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Даты и суммы исполнения = записям реестра платежей КЗ-05; последняя дата — дата последнего платежа.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После регистрации фаза получает статус «Полное погашение», процедура — «Передан в отраслевые отделы»; подтверждение статуса отраслевым департаментом — в течение 3 рабочих дней (записка от 11.03.2027 — до 16.03.2027).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Адресат = департаменту, ведущему кредит КЗ-05 — Отраслевому департаменту промышленности.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ФО-70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