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l"/>
        <w:bidi w:val="0"/>
        <w:ind w:hanging="0" w:left="0" w:right="0"/>
        <w:jc w:val="left"/>
        <w:rPr/>
      </w:pPr>
      <w:r>
        <w:rPr/>
        <w:t>ОАО «Госфинхолдинг»</w:t>
      </w:r>
    </w:p>
    <w:p>
      <w:pPr>
        <w:pStyle w:val="BodyTextl"/>
        <w:bidi w:val="0"/>
        <w:ind w:hanging="0" w:left="0" w:right="0"/>
        <w:jc w:val="left"/>
        <w:rPr/>
      </w:pPr>
      <w:r>
        <w:rPr/>
        <w:t xml:space="preserve">Служебная записка № </w:t>
      </w:r>
      <w:r>
        <w:rPr>
          <w:shd w:fill="FFF2A8" w:val="clear"/>
        </w:rPr>
        <w:t>12-02/0307</w:t>
      </w:r>
      <w:r>
        <w:rPr/>
        <w:t xml:space="preserve"> от </w:t>
      </w:r>
      <w:r>
        <w:rPr>
          <w:shd w:fill="FFF2A8" w:val="clear"/>
        </w:rPr>
        <w:t>20.05.2026</w:t>
      </w:r>
    </w:p>
    <w:p>
      <w:pPr>
        <w:pStyle w:val="BodyTextl"/>
        <w:bidi w:val="0"/>
        <w:ind w:hanging="0" w:left="0" w:right="0"/>
        <w:jc w:val="left"/>
        <w:rPr/>
      </w:pPr>
      <w:r>
        <w:rPr/>
        <w:t> </w:t>
      </w:r>
    </w:p>
    <w:tbl>
      <w:tblPr>
        <w:tblW w:w="96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418"/>
        <w:gridCol w:w="5221"/>
      </w:tblGrid>
      <w:tr>
        <w:trPr/>
        <w:tc>
          <w:tcPr>
            <w:tcW w:w="44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522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Начальнику отдела по работе с проблемными кредитами Департамента правового обеспечения</w:t>
              <w:br/>
            </w:r>
            <w:r>
              <w:rPr>
                <w:shd w:fill="FFF2A8" w:val="clear"/>
              </w:rPr>
              <w:t>Фамилия И. О.</w:t>
            </w:r>
          </w:p>
        </w:tc>
      </w:tr>
    </w:tbl>
    <w:p>
      <w:pPr>
        <w:pStyle w:val="Heading1"/>
        <w:bidi w:val="0"/>
        <w:rPr/>
      </w:pPr>
      <w:r>
        <w:rPr/>
        <w:t>СЛУЖЕБНАЯ ЗАПИСКА о внесудебном обращении взыскания на предмет залога</w:t>
      </w:r>
    </w:p>
    <w:p>
      <w:pPr>
        <w:pStyle w:val="BodyText"/>
        <w:bidi w:val="0"/>
        <w:ind w:firstLine="709" w:left="0" w:right="0"/>
        <w:rPr/>
      </w:pPr>
      <w:r>
        <w:rPr/>
        <w:t xml:space="preserve">По кредитному договору </w:t>
      </w:r>
      <w:r>
        <w:rPr>
          <w:shd w:fill="FFF2A8" w:val="clear"/>
        </w:rPr>
        <w:t>№ 21-5/203 от 09.09.2021</w:t>
      </w:r>
      <w:r>
        <w:rPr/>
        <w:t xml:space="preserve"> заёмщик </w:t>
      </w:r>
      <w:r>
        <w:rPr>
          <w:shd w:fill="FFF2A8" w:val="clear"/>
        </w:rPr>
        <w:t>ОсОО «Ош-Текстиль»</w:t>
      </w:r>
      <w:r>
        <w:rPr/>
        <w:t xml:space="preserve"> нарушил срок исполнения обязательства. Основание обращения взыскания — </w:t>
      </w:r>
      <w:r>
        <w:rPr>
          <w:shd w:fill="FFF2A8" w:val="clear"/>
        </w:rPr>
        <w:t>нарушение срока исполнения обязательства</w:t>
      </w:r>
      <w:r>
        <w:rPr/>
        <w:t>. Спора о сумме задолженности нет.</w:t>
      </w:r>
    </w:p>
    <w:p>
      <w:pPr>
        <w:pStyle w:val="BodyText"/>
        <w:bidi w:val="0"/>
        <w:ind w:firstLine="709" w:left="0" w:right="0"/>
        <w:rPr/>
      </w:pPr>
      <w:r>
        <w:rPr/>
        <w:t xml:space="preserve">Задолженность на </w:t>
      </w:r>
      <w:r>
        <w:rPr>
          <w:shd w:fill="FFF2A8" w:val="clear"/>
        </w:rPr>
        <w:t>20.05.2026</w:t>
      </w:r>
      <w:r>
        <w:rPr/>
        <w:t xml:space="preserve">: просроченная основная сумма — </w:t>
      </w:r>
      <w:r>
        <w:rPr>
          <w:shd w:fill="FFF2A8" w:val="clear"/>
        </w:rPr>
        <w:t>400 000,00</w:t>
      </w:r>
      <w:r>
        <w:rPr/>
        <w:t xml:space="preserve"> сом (остаток основного долга — </w:t>
      </w:r>
      <w:r>
        <w:rPr>
          <w:shd w:fill="FFF2A8" w:val="clear"/>
        </w:rPr>
        <w:t>3 600 000,00</w:t>
      </w:r>
      <w:r>
        <w:rPr/>
        <w:t xml:space="preserve"> сом), проценты — </w:t>
      </w:r>
      <w:r>
        <w:rPr>
          <w:shd w:fill="FFF2A8" w:val="clear"/>
        </w:rPr>
        <w:t>150 849,06</w:t>
      </w:r>
      <w:r>
        <w:rPr/>
        <w:t xml:space="preserve"> сом, штрафы — </w:t>
      </w:r>
      <w:r>
        <w:rPr>
          <w:shd w:fill="FFF2A8" w:val="clear"/>
        </w:rPr>
        <w:t>44 334,91</w:t>
      </w:r>
      <w:r>
        <w:rPr/>
        <w:t xml:space="preserve"> сом, всего просроченная задолженность — </w:t>
      </w:r>
      <w:r>
        <w:rPr>
          <w:shd w:fill="FFF2A8" w:val="clear"/>
        </w:rPr>
        <w:t>595 183,97</w:t>
      </w:r>
      <w:r>
        <w:rPr/>
        <w:t xml:space="preserve"> сом.</w:t>
      </w:r>
    </w:p>
    <w:p>
      <w:pPr>
        <w:pStyle w:val="BodyText"/>
        <w:bidi w:val="0"/>
        <w:ind w:firstLine="709" w:left="0" w:right="0"/>
        <w:rPr/>
      </w:pPr>
      <w:r>
        <w:rPr/>
        <w:t xml:space="preserve">Предмет залога: </w:t>
      </w:r>
      <w:r>
        <w:rPr>
          <w:shd w:fill="FFF2A8" w:val="clear"/>
        </w:rPr>
        <w:t>нежилое здание (цех), Ошская обл., Кара-Суйский р-н, с. Кара-Суу, ул. Мира, 7</w:t>
      </w:r>
      <w:r>
        <w:rPr/>
        <w:t xml:space="preserve">; договор о залоге </w:t>
      </w:r>
      <w:r>
        <w:rPr>
          <w:shd w:fill="FFF2A8" w:val="clear"/>
        </w:rPr>
        <w:t>№ 21-5/203-З1 от 09.09.2021</w:t>
      </w:r>
      <w:r>
        <w:rPr/>
        <w:t>. Просим инициировать процедуру внесудебного обращения взыскания и вынести вопрос на комитет.</w:t>
      </w:r>
    </w:p>
    <w:tbl>
      <w:tblPr>
        <w:tblW w:w="96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285"/>
        <w:gridCol w:w="4354"/>
      </w:tblGrid>
      <w:tr>
        <w:trPr/>
        <w:tc>
          <w:tcPr>
            <w:tcW w:w="5285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Руководитель </w:t>
            </w:r>
            <w:r>
              <w:rPr>
                <w:shd w:fill="FFF2A8" w:val="clear"/>
              </w:rPr>
              <w:t>Регионального представительства «Ош»</w:t>
            </w:r>
          </w:p>
        </w:tc>
        <w:tc>
          <w:tcPr>
            <w:tcW w:w="435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 xml:space="preserve">______________ </w:t>
            </w:r>
            <w:r>
              <w:rPr>
                <w:shd w:fill="FFF2A8" w:val="clear"/>
              </w:rPr>
              <w:t>Фамилия И. О.</w:t>
            </w:r>
          </w:p>
        </w:tc>
      </w:tr>
    </w:tbl>
    <w:p>
      <w:pPr>
        <w:pStyle w:val="BodyTextl"/>
        <w:bidi w:val="0"/>
        <w:ind w:hanging="0" w:left="0" w:right="0"/>
        <w:jc w:val="left"/>
        <w:rPr/>
      </w:pPr>
      <w:r>
        <w:br w:type="page"/>
      </w:r>
      <w:r>
        <w:rPr/>
        <w:t> </w:t>
      </w:r>
    </w:p>
    <w:p>
      <w:pPr>
        <w:pStyle w:val="Heading2"/>
        <w:bidi w:val="0"/>
        <w:jc w:val="left"/>
        <w:rPr/>
      </w:pPr>
      <w:r>
        <w:rPr/>
        <w:t>ФО-71 «Служебная записка о внесудебном обращении взыскания на залог» — описание бланка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698"/>
        <w:gridCol w:w="6940"/>
      </w:tblGrid>
      <w:tr>
        <w:trPr/>
        <w:tc>
          <w:tcPr>
            <w:tcW w:w="269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Номер</w:t>
            </w:r>
          </w:p>
        </w:tc>
        <w:tc>
          <w:tcPr>
            <w:tcW w:w="694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ФО-71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Служебная записка о внесудебном обращении взыскания на залог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Часть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Бланк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Модуль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Взыскание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внутренний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Язык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рус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Основание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Порядок №41 п. 42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Образец-основа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нет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Зачем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Передать материалы в отдел по работе с проблемными кредитами для начала процедуры внесудебного обращения взыскания на предмет залога.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Когда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Отраслевой департамент или региональное представительство формирует при наличии оснований, предусмотренных Порядком №41 п. 39–40: нарушен срок исполнения обязательства или не выполнено требование залогодержателя о досрочном исполнении (п. 42). Условия: основание — договор залога или соглашение о внесудебном порядке, спора о сумме нет, предмет залога не из перечня п. 43.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 и адрес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Отдел по работе с проблемными кредитами Департамента правового обеспечения.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Текст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Текст свёрстан по Порядку №41 п. 39–43; образца нет. Постоянная часть — просьба инициировать процедуру внесудебного обращения взыскания, основания (из перечня п. 40–41) и перечень приложений.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Регистрационный номер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Присваивается журналом внутренних документов при регистрации.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Формат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А4 книжная, docx и pdf. Подпись директора департамента, ведущего кредит, либо руководителя регионального представительства. Приложения: договор залога, расчёт, акт сверки, претензии.</w:t>
            </w:r>
          </w:p>
        </w:tc>
      </w:tr>
    </w:tbl>
    <w:p>
      <w:pPr>
        <w:pStyle w:val="Heading3"/>
        <w:bidi w:val="0"/>
        <w:jc w:val="left"/>
        <w:rPr/>
      </w:pPr>
      <w:r>
        <w:rPr/>
        <w:t>Что подставляется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4039"/>
        <w:gridCol w:w="5600"/>
      </w:tblGrid>
      <w:tr>
        <w:trPr/>
        <w:tc>
          <w:tcPr>
            <w:tcW w:w="4039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Значение</w:t>
            </w:r>
          </w:p>
        </w:tc>
        <w:tc>
          <w:tcPr>
            <w:tcW w:w="560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Откуда</w:t>
            </w:r>
          </w:p>
        </w:tc>
      </w:tr>
      <w:tr>
        <w:trPr/>
        <w:tc>
          <w:tcPr>
            <w:tcW w:w="403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Заёмщик, залогодатель и номер, дата кредитного договора</w:t>
            </w:r>
          </w:p>
        </w:tc>
        <w:tc>
          <w:tcPr>
            <w:tcW w:w="560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карточка кредита</w:t>
            </w:r>
          </w:p>
        </w:tc>
      </w:tr>
      <w:tr>
        <w:trPr/>
        <w:tc>
          <w:tcPr>
            <w:tcW w:w="403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Договор залога (соглашение о внесудебном порядке): номер, дата</w:t>
            </w:r>
          </w:p>
        </w:tc>
        <w:tc>
          <w:tcPr>
            <w:tcW w:w="560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договор залога по кредиту</w:t>
            </w:r>
          </w:p>
        </w:tc>
      </w:tr>
      <w:tr>
        <w:trPr/>
        <w:tc>
          <w:tcPr>
            <w:tcW w:w="403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Предмет залога</w:t>
            </w:r>
          </w:p>
        </w:tc>
        <w:tc>
          <w:tcPr>
            <w:tcW w:w="560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карточка предмета залога; признак «только судебный порядок» (п. 43) блокирует бланк</w:t>
            </w:r>
          </w:p>
        </w:tc>
      </w:tr>
      <w:tr>
        <w:trPr/>
        <w:tc>
          <w:tcPr>
            <w:tcW w:w="403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Основание обращения взыскания</w:t>
            </w:r>
          </w:p>
        </w:tc>
        <w:tc>
          <w:tcPr>
            <w:tcW w:w="560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выбор куратора из перечня п. 40–41</w:t>
            </w:r>
          </w:p>
        </w:tc>
      </w:tr>
      <w:tr>
        <w:trPr/>
        <w:tc>
          <w:tcPr>
            <w:tcW w:w="403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Задолженность: основная сумма, проценты, штрафы, всего</w:t>
            </w:r>
          </w:p>
        </w:tc>
        <w:tc>
          <w:tcPr>
            <w:tcW w:w="560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расчёт на дату бланка</w:t>
            </w:r>
          </w:p>
        </w:tc>
      </w:tr>
      <w:tr>
        <w:trPr/>
        <w:tc>
          <w:tcPr>
            <w:tcW w:w="4039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Подписант</w:t>
            </w:r>
          </w:p>
        </w:tc>
        <w:tc>
          <w:tcPr>
            <w:tcW w:w="560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директор департамента, ведущего кредит, либо руководитель регионального представительства</w:t>
            </w:r>
          </w:p>
        </w:tc>
      </w:tr>
    </w:tbl>
    <w:p>
      <w:pPr>
        <w:pStyle w:val="Heading3"/>
        <w:bidi w:val="0"/>
        <w:jc w:val="left"/>
        <w:rPr/>
      </w:pPr>
      <w:r>
        <w:rPr/>
        <w:t>Правила проверки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Для КЗ-04 бланк доступен, если у кредита есть договор залога (№ 21-5/203-З1 от 09.09.2021) и по предмету залога нет признака «только судебный порядок».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Предмет залога и договор залога в тексте = карточке предмета залога КЗ-04.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Задолженность = расчёту кредита на дату бланка.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Основание выбирается из перечня п. 40–41; без основания бланк не сохраняется.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120"/>
        <w:ind w:hanging="283" w:left="709"/>
        <w:rPr/>
      </w:pPr>
      <w:r>
        <w:rPr/>
        <w:t xml:space="preserve">После регистрации по КЗ-04 открывается вопрос для комитета по правовому обеспечению и управлению активами. </w:t>
      </w:r>
    </w:p>
    <w:sectPr>
      <w:type w:val="nextPage"/>
      <w:pgSz w:w="11906" w:h="16838"/>
      <w:pgMar w:left="1417" w:right="850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240"/>
      <w:ind w:left="240" w:right="240"/>
      <w:jc w:val="center"/>
      <w:outlineLvl w:val="0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2">
    <w:name w:val="Heading 2"/>
    <w:basedOn w:val="Heading"/>
    <w:next w:val="BodyText"/>
    <w:qFormat/>
    <w:pPr>
      <w:spacing w:before="200" w:after="160"/>
      <w:outlineLvl w:val="1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3">
    <w:name w:val="Heading 3"/>
    <w:basedOn w:val="Heading"/>
    <w:next w:val="BodyText"/>
    <w:qFormat/>
    <w:pPr>
      <w:spacing w:before="240" w:after="80"/>
      <w:ind w:left="240" w:right="240"/>
      <w:outlineLvl w:val="2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20"/>
      <w:jc w:val="both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l">
    <w:name w:val="Body Text.l"/>
    <w:basedOn w:val="BodyText"/>
    <w:qFormat/>
    <w:pPr>
      <w:jc w:val="lef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ФО-71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