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 xml:space="preserve">СОГЛАШЕНИЕ № </w:t>
      </w:r>
      <w:r>
        <w:rPr>
          <w:shd w:fill="FFF2A8" w:val="clear"/>
        </w:rPr>
        <w:t>14</w:t>
      </w:r>
      <w:r>
        <w:rPr/>
        <w:t xml:space="preserve"> о переводе долга</w:t>
      </w:r>
    </w:p>
    <w:p>
      <w:pPr>
        <w:pStyle w:val="BodyTextl"/>
        <w:bidi w:val="0"/>
        <w:ind w:hanging="0" w:left="0" w:right="0"/>
        <w:jc w:val="left"/>
        <w:rPr/>
      </w:pPr>
      <w:r>
        <w:rPr>
          <w:shd w:fill="FFF2A8" w:val="clear"/>
        </w:rPr>
        <w:t>г. Бишкек</w:t>
      </w:r>
      <w:r>
        <w:rPr/>
        <w:t xml:space="preserve">, </w:t>
      </w:r>
      <w:r>
        <w:rPr>
          <w:shd w:fill="FFF2A8" w:val="clear"/>
        </w:rPr>
        <w:t>09.09.2026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63"/>
        <w:gridCol w:w="5476"/>
      </w:tblGrid>
      <w:tr>
        <w:trPr/>
        <w:tc>
          <w:tcPr>
            <w:tcW w:w="4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ОАО «Госфинхолдинг» («Кредитор»), </w:t>
            </w:r>
            <w:r>
              <w:rPr>
                <w:shd w:fill="FFF2A8" w:val="clear"/>
              </w:rPr>
              <w:t>ОсОО «Эко-Продукт»</w:t>
            </w:r>
            <w:r>
              <w:rPr/>
              <w:t xml:space="preserve"> («Прежний заёмщик») и </w:t>
            </w:r>
            <w:r>
              <w:rPr>
                <w:shd w:fill="FFF2A8" w:val="clear"/>
              </w:rPr>
              <w:t>ОсОО «Ысык-Көл Логистик»</w:t>
            </w:r>
            <w:r>
              <w:rPr/>
              <w:t xml:space="preserve"> («Новый заёмщик»)</w:t>
            </w:r>
          </w:p>
        </w:tc>
      </w:tr>
    </w:tbl>
    <w:p>
      <w:pPr>
        <w:pStyle w:val="Heading1"/>
        <w:bidi w:val="0"/>
        <w:rPr/>
      </w:pPr>
      <w:r>
        <w:rPr/>
        <w:t>СОГЛАШЕНИЕ О ПЕРЕВОДЕ ДОЛГА</w:t>
      </w:r>
    </w:p>
    <w:p>
      <w:pPr>
        <w:pStyle w:val="BodyText"/>
        <w:bidi w:val="0"/>
        <w:ind w:firstLine="709" w:left="0" w:right="0"/>
        <w:rPr/>
      </w:pPr>
      <w:r>
        <w:rPr/>
        <w:t xml:space="preserve">По кредитному договору </w:t>
      </w:r>
      <w:r>
        <w:rPr>
          <w:shd w:fill="FFF2A8" w:val="clear"/>
        </w:rPr>
        <w:t>№ 21-6/144 от 02.06.2021</w:t>
      </w:r>
      <w:r>
        <w:rPr/>
        <w:t xml:space="preserve"> Прежний заёмщик переводит, а Новый заёмщик принимает долг на </w:t>
      </w:r>
      <w:r>
        <w:rPr>
          <w:shd w:fill="FFF2A8" w:val="clear"/>
        </w:rPr>
        <w:t>09.09.2026</w:t>
      </w:r>
      <w:r>
        <w:rPr/>
        <w:t xml:space="preserve"> в следующем размере (сумма — в сомах).</w:t>
      </w:r>
    </w:p>
    <w:p>
      <w:pPr>
        <w:pStyle w:val="BodyText"/>
        <w:bidi w:val="0"/>
        <w:ind w:firstLine="709" w:left="0" w:right="0"/>
        <w:rPr/>
      </w:pPr>
      <w:r>
        <w:rPr/>
        <w:t xml:space="preserve">Перевод долга производится с согласия Кредитора: </w:t>
      </w:r>
      <w:r>
        <w:rPr>
          <w:shd w:fill="FFF2A8" w:val="clear"/>
        </w:rPr>
        <w:t>решение комитета № 29 от 28.08.2026</w:t>
      </w:r>
      <w:r>
        <w:rPr/>
        <w:t xml:space="preserve">. Обеспечение нового заёмщика: </w:t>
      </w:r>
      <w:r>
        <w:rPr>
          <w:shd w:fill="FFF2A8" w:val="clear"/>
        </w:rPr>
        <w:t>договор залога № 21-6/144-З2 от 09.09.2026, оценка 3 400 000,00 сом</w:t>
      </w:r>
      <w:r>
        <w:rPr/>
        <w:t>. Надёжность исполнения обязательств повышается: обеспечение превышает переводимый долг.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361"/>
        <w:gridCol w:w="3277"/>
      </w:tblGrid>
      <w:tr>
        <w:trPr/>
        <w:tc>
          <w:tcPr>
            <w:tcW w:w="636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Статья долга</w:t>
            </w:r>
          </w:p>
        </w:tc>
        <w:tc>
          <w:tcPr>
            <w:tcW w:w="327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Сумма, сом</w:t>
            </w:r>
          </w:p>
        </w:tc>
      </w:tr>
      <w:tr>
        <w:trPr/>
        <w:tc>
          <w:tcPr>
            <w:tcW w:w="63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Основной долг</w:t>
            </w:r>
          </w:p>
        </w:tc>
        <w:tc>
          <w:tcPr>
            <w:tcW w:w="32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2 650 000,00</w:t>
            </w:r>
          </w:p>
        </w:tc>
      </w:tr>
      <w:tr>
        <w:trPr/>
        <w:tc>
          <w:tcPr>
            <w:tcW w:w="63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Проценты</w:t>
            </w:r>
          </w:p>
        </w:tc>
        <w:tc>
          <w:tcPr>
            <w:tcW w:w="32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</w:tr>
      <w:tr>
        <w:trPr/>
        <w:tc>
          <w:tcPr>
            <w:tcW w:w="63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Пеня</w:t>
            </w:r>
          </w:p>
        </w:tc>
        <w:tc>
          <w:tcPr>
            <w:tcW w:w="32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</w:tr>
      <w:tr>
        <w:trPr/>
        <w:tc>
          <w:tcPr>
            <w:tcW w:w="636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 переводимый долг</w:t>
            </w:r>
          </w:p>
        </w:tc>
        <w:tc>
          <w:tcPr>
            <w:tcW w:w="327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2 650 000,00</w:t>
            </w:r>
          </w:p>
        </w:tc>
      </w:tr>
    </w:tbl>
    <w:tbl>
      <w:tblPr>
        <w:tblW w:w="755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53"/>
        <w:gridCol w:w="3397"/>
      </w:tblGrid>
      <w:tr>
        <w:trPr/>
        <w:tc>
          <w:tcPr>
            <w:tcW w:w="415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От Кредитора: </w:t>
            </w:r>
            <w:r>
              <w:rPr>
                <w:shd w:fill="FFF2A8" w:val="clear"/>
              </w:rPr>
              <w:t>должность</w:t>
            </w:r>
          </w:p>
        </w:tc>
        <w:tc>
          <w:tcPr>
            <w:tcW w:w="339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15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От Прежнего заёмщика: </w:t>
            </w:r>
            <w:r>
              <w:rPr>
                <w:shd w:fill="FFF2A8" w:val="clear"/>
              </w:rPr>
              <w:t>директор</w:t>
            </w:r>
          </w:p>
        </w:tc>
        <w:tc>
          <w:tcPr>
            <w:tcW w:w="339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15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От Нового заёмщика: </w:t>
            </w:r>
            <w:r>
              <w:rPr>
                <w:shd w:fill="FFF2A8" w:val="clear"/>
              </w:rPr>
              <w:t>директор</w:t>
            </w:r>
          </w:p>
        </w:tc>
        <w:tc>
          <w:tcPr>
            <w:tcW w:w="339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ФО-82 «Соглашение о переводе долга»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ФО-82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Соглашение о переводе долга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заёмщик, новый заёмщик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оф. ТЗ ¶375–376, ¶380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Оформить перевод долга по кредитному договору с первоначального заёмщика на нового: три стороны — Холдинг, прежний и новый заёмщик.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После согласия кредитора (или органа, наделённого правом требования) на перевод долга (ПКМ №14 п. 99, 103). Формируется по одному кредиту.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Первоначальный и новый заёмщики — оба; реквизиты и адреса из карточек субъектов.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взят из ПКМ №14 гл. 10 (пп. 99–104) и официального ТЗ. Постоянные формулировки соглашения даёт заказчик (образца нет). Соглашение не заменяет кредитный договор с новым заёмщиком: он оформляется отдельно по ФО-44 (п. 99 — согласие кредитора учитывается в условиях вновь заключаемого кредитного договора).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Порядковый номер соглашения присваивается системой при формировании; журналом документооборота не регистрируется.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Подписи трёх сторон.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516"/>
        <w:gridCol w:w="6123"/>
      </w:tblGrid>
      <w:tr>
        <w:trPr/>
        <w:tc>
          <w:tcPr>
            <w:tcW w:w="351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12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Стороны: Холдинг, прежний заёмщик, новый заёмщик</w:t>
            </w:r>
          </w:p>
        </w:tc>
        <w:tc>
          <w:tcPr>
            <w:tcW w:w="61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карточки субъектов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Договор, по которому переводится долг</w:t>
            </w:r>
          </w:p>
        </w:tc>
        <w:tc>
          <w:tcPr>
            <w:tcW w:w="61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Переводимый долг по статьям на дату перевода</w:t>
            </w:r>
          </w:p>
        </w:tc>
        <w:tc>
          <w:tcPr>
            <w:tcW w:w="61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кредита на дату; суммы в сомах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Основание: согласие кредитора, решение органа</w:t>
            </w:r>
          </w:p>
        </w:tc>
        <w:tc>
          <w:tcPr>
            <w:tcW w:w="61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 документа согласия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Обеспечение нового заёмщика</w:t>
            </w:r>
          </w:p>
        </w:tc>
        <w:tc>
          <w:tcPr>
            <w:tcW w:w="61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обеспечительные договоры нового заёмщика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перевода</w:t>
            </w:r>
          </w:p>
        </w:tc>
        <w:tc>
          <w:tcPr>
            <w:tcW w:w="612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регистрации соглашения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Обоснование: надёжность исполнения повышается</w:t>
            </w:r>
          </w:p>
        </w:tc>
        <w:tc>
          <w:tcPr>
            <w:tcW w:w="612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заключение куратора; перевод допускается, если надёжность исполнения повышается (ПКМ №14 п. 103)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КЗ-07 (договор № 21-6/144) в соглашении № 14 первоначальный заёмщик — ОсОО «Эко-Продукт», новый — ОсОО «Ысык-Көл Логистик», дата перевода — 09.09.2026.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Переводимый долг по статьям = задолженности по кредиту на дату перевода; «Итого» = сумма строк.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В соглашении указано основание — реквизиты согласия кредитора.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После регистрации перевода в кредите заёмщик заменён, бланк находится в карточке кредита.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В соглашении указано обоснование: надёжность исполнения повышается (обеспечение нового заёмщика не меньше переводимого долга).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ФО-82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