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14-02/0771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34"/>
        <w:gridCol w:w="5005"/>
      </w:tblGrid>
      <w:tr>
        <w:trPr/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0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Залогодателю </w:t>
            </w:r>
            <w:r>
              <w:rPr>
                <w:shd w:fill="FFF2A8" w:val="clear"/>
              </w:rPr>
              <w:t>ОсОО «Ош-Текстиль»</w:t>
            </w:r>
            <w:r>
              <w:rPr/>
              <w:br/>
            </w:r>
            <w:r>
              <w:rPr>
                <w:shd w:fill="FFF2A8" w:val="clear"/>
              </w:rPr>
              <w:t>Ошская обл., Кара-Суйский р-н, с. Кара-Суу, ул. Мира, 7</w:t>
            </w:r>
          </w:p>
        </w:tc>
      </w:tr>
    </w:tbl>
    <w:p>
      <w:pPr>
        <w:pStyle w:val="Heading1"/>
        <w:bidi w:val="0"/>
        <w:rPr/>
      </w:pPr>
      <w:r>
        <w:rPr/>
        <w:t>РАСЧЁТ РАСПРЕДЕЛЕНИЯ ВЫРУЧКИ от реализации предмета залога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договору о залоге </w:t>
      </w:r>
      <w:r>
        <w:rPr>
          <w:shd w:fill="FFF2A8" w:val="clear"/>
        </w:rPr>
        <w:t>№ 21-5/203-З1 от 09.09.2021</w:t>
      </w:r>
      <w:r>
        <w:rPr/>
        <w:t xml:space="preserve"> реализован предмет залога — </w:t>
      </w:r>
      <w:r>
        <w:rPr>
          <w:shd w:fill="FFF2A8" w:val="clear"/>
        </w:rPr>
        <w:t>нежилое здание (цех), Ошская обл., Кара-Суйский р-н, с. Кара-Суу, ул. Мира, 7</w:t>
      </w:r>
      <w:r>
        <w:rPr/>
        <w:t xml:space="preserve">. Выручка </w:t>
      </w:r>
      <w:r>
        <w:rPr>
          <w:shd w:fill="FFF2A8" w:val="clear"/>
        </w:rPr>
        <w:t>4 700 000,00</w:t>
      </w:r>
      <w:r>
        <w:rPr/>
        <w:t xml:space="preserve"> сом поступила </w:t>
      </w:r>
      <w:r>
        <w:rPr>
          <w:shd w:fill="FFF2A8" w:val="clear"/>
        </w:rPr>
        <w:t>29.09.2026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Выручка распределена в порядке, установленном Порядком №41 п. 48. Остаток </w:t>
      </w:r>
      <w:r>
        <w:rPr>
          <w:shd w:fill="FFF2A8" w:val="clear"/>
        </w:rPr>
        <w:t>459 500,00</w:t>
      </w:r>
      <w:r>
        <w:rPr/>
        <w:t xml:space="preserve"> сом возвращается залогодателю.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14"/>
        <w:gridCol w:w="5086"/>
        <w:gridCol w:w="1371"/>
        <w:gridCol w:w="2368"/>
      </w:tblGrid>
      <w:tr>
        <w:trPr/>
        <w:tc>
          <w:tcPr>
            <w:tcW w:w="81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Пункт</w:t>
            </w:r>
          </w:p>
        </w:tc>
        <w:tc>
          <w:tcPr>
            <w:tcW w:w="50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  <w:tc>
          <w:tcPr>
            <w:tcW w:w="2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выручки, сом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Выручка от реализации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4 700 000,00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4 700 000,00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Расходы на обращение взыскания и реализацию: оценка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4 665 000,00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Расходы: организация торгов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4 603 000,00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Расходы: регистрация и нотариальные услуги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4 590 000,00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ОАО: основная сумма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3 600 000,00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990 000,00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ОАО: проценты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410 000,00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580 000,00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ОАО: штрафы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120 500,00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459 500,00</w:t>
            </w:r>
          </w:p>
        </w:tc>
      </w:tr>
      <w:tr>
        <w:trPr/>
        <w:tc>
          <w:tcPr>
            <w:tcW w:w="81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50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Возвращается залогодателю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459 500,00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</w:tbl>
    <w:tbl>
      <w:tblPr>
        <w:tblW w:w="91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22"/>
        <w:gridCol w:w="4109"/>
      </w:tblGrid>
      <w:tr>
        <w:trPr/>
        <w:tc>
          <w:tcPr>
            <w:tcW w:w="5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ФО-85 «Расчёт распределения выручки от реализации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распределения выручки от реализации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48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Показать залогодателю, как распределена выручка от реализации предмета залога: расходы, требования ОАО, остаток залогодателю.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после поступления выручки от реализации предмета залога (внесудебно, с торгов или судебным исполнителем) — для расчёта с залогодателем (Порядок №41 п. 48). Один расчёт на предмет залога.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«залогодатель» по договору залога; адрес — из карточки субъекта. Залогодатель может не совпадать с заёмщиком.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48; образца нет. Порядок распределения постоянный: 1) расходы, связанные с обращением взыскания и реализацией; 2) требования ОАО «Госфинхолдинг» в очерёдности основной долг, проценты, финансовые санкции, иные платежи (при судебном акте сначала сумма по акту, затем по договору); 3) остаток возвращается залогодателю.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 правового обеспечения.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404"/>
        <w:gridCol w:w="4235"/>
      </w:tblGrid>
      <w:tr>
        <w:trPr/>
        <w:tc>
          <w:tcPr>
            <w:tcW w:w="54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2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Залогодатель, заёмщик, номер и дата кредитного договора, договора залога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 и договор залога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 залога и способ реализации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 залога, запись о реализации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Выручка от реализации и дата поступления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о реализации предмета залога, реестр платежей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Расходы по обращению взыскания и реализации: статьи и суммы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подтверждающие документы; вводит куратор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ОАО: основная сумма, проценты, штрафы, иные платежи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 реализации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Остаток, возвращаемый залогодателю, или непокрытая часть требований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вычисляется</w:t>
            </w:r>
          </w:p>
        </w:tc>
      </w:tr>
      <w:tr>
        <w:trPr/>
        <w:tc>
          <w:tcPr>
            <w:tcW w:w="54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2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Выручка по КЗ-04 = сумме поступления от реализации предмета залога в реестре платежей (4 700 000,00, поступила 29.09.2026).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залогодателю = выручка − расходы − требования ОАО (459 500,00); если результат отрицательный, остаток залогодателю 0,00 и показана непокрытая часть требований.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Требования ОАО по видам = задолженности кредита КЗ-04 № 21-5/203 на дату реализации: основная сумма 3 600 000,00, проценты 410 000,00, штрафы 120 500,00.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Остаток выручки в последней строке таблицы равен 0,00; на каждой строке он равен предыдущему остатку минус сумма строки.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