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Дополнительное соглашение № </w:t>
      </w:r>
      <w:r>
        <w:rPr>
          <w:shd w:fill="FFF2A8" w:val="clear"/>
        </w:rPr>
        <w:t>1</w:t>
      </w:r>
      <w:r>
        <w:rPr/>
        <w:t xml:space="preserve"> от </w:t>
      </w:r>
      <w:r>
        <w:rPr>
          <w:shd w:fill="FFF2A8" w:val="clear"/>
        </w:rPr>
        <w:t>09.09.2026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86"/>
        <w:gridCol w:w="5253"/>
      </w:tblGrid>
      <w:tr>
        <w:trPr/>
        <w:tc>
          <w:tcPr>
            <w:tcW w:w="4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25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к договору о залоге </w:t>
            </w:r>
            <w:r>
              <w:rPr>
                <w:shd w:fill="FFF2A8" w:val="clear"/>
              </w:rPr>
              <w:t>№ 24-6/019-З1 от 11.02.2024</w:t>
            </w:r>
            <w:r>
              <w:rPr/>
              <w:br/>
              <w:t xml:space="preserve">Залогодатель: </w:t>
            </w:r>
            <w:r>
              <w:rPr>
                <w:shd w:fill="FFF2A8" w:val="clear"/>
              </w:rPr>
              <w:t>ОсОО «Ак-Булак»</w:t>
            </w:r>
            <w:r>
              <w:rPr/>
              <w:t>; Залогодержатель: ОАО «Госфинхолдинг»</w:t>
            </w:r>
          </w:p>
        </w:tc>
      </w:tr>
    </w:tbl>
    <w:p>
      <w:pPr>
        <w:pStyle w:val="Heading1"/>
        <w:bidi w:val="0"/>
        <w:rPr/>
      </w:pPr>
      <w:r>
        <w:rPr/>
        <w:t>ДОПОЛНИТЕЛЬНОЕ СОГЛАШЕНИЕ о внесении изменений в договор о залоге</w:t>
      </w:r>
    </w:p>
    <w:p>
      <w:pPr>
        <w:pStyle w:val="BodyText"/>
        <w:bidi w:val="0"/>
        <w:ind w:firstLine="709" w:left="0" w:right="0"/>
        <w:rPr/>
      </w:pPr>
      <w:r>
        <w:rPr/>
        <w:t xml:space="preserve">1. Основание: </w:t>
      </w:r>
      <w:r>
        <w:rPr>
          <w:shd w:fill="FFF2A8" w:val="clear"/>
        </w:rPr>
        <w:t>уточнение реквизитов предмета залога по новому техническому паспорту от 12.08.2026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2. Стороны договорились внести в договор изменения, указанные в таблице; остальные условия договора не изменяются.</w:t>
      </w:r>
    </w:p>
    <w:p>
      <w:pPr>
        <w:pStyle w:val="BodyText"/>
        <w:bidi w:val="0"/>
        <w:ind w:firstLine="709" w:left="0" w:right="0"/>
        <w:rPr/>
      </w:pPr>
      <w:r>
        <w:rPr/>
        <w:t>3. Обеспеченность кредита после изменений не ухудшается (таблица). Соглашение является неотъемлемой частью договора и удостоверяется нотариально в той же форме, что и договор.</w:t>
      </w:r>
    </w:p>
    <w:p>
      <w:pPr>
        <w:pStyle w:val="BodyText"/>
        <w:bidi w:val="0"/>
        <w:ind w:firstLine="709" w:left="0" w:right="0"/>
        <w:rPr/>
      </w:pPr>
      <w:r>
        <w:rPr/>
        <w:t xml:space="preserve">4. Нотариус: </w:t>
      </w:r>
      <w:r>
        <w:rPr>
          <w:shd w:fill="FFF2A8" w:val="clear"/>
        </w:rPr>
        <w:t>нотариус, номер и дата удостоверения</w:t>
      </w:r>
      <w:r>
        <w:rPr/>
        <w:t>. Подписи сторон — по типовой форме.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37"/>
        <w:gridCol w:w="7405"/>
        <w:gridCol w:w="853"/>
        <w:gridCol w:w="943"/>
      </w:tblGrid>
      <w:tr>
        <w:trPr/>
        <w:tc>
          <w:tcPr>
            <w:tcW w:w="43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№</w:t>
            </w:r>
          </w:p>
        </w:tc>
        <w:tc>
          <w:tcPr>
            <w:tcW w:w="74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Что изменяется</w:t>
            </w:r>
          </w:p>
        </w:tc>
        <w:tc>
          <w:tcPr>
            <w:tcW w:w="85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Было</w:t>
            </w:r>
          </w:p>
        </w:tc>
        <w:tc>
          <w:tcPr>
            <w:tcW w:w="94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Стало</w:t>
            </w:r>
          </w:p>
        </w:tc>
      </w:tr>
      <w:tr>
        <w:trPr/>
        <w:tc>
          <w:tcPr>
            <w:tcW w:w="4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74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Предмет П-071: общая площадь, кв.м</w:t>
            </w:r>
          </w:p>
        </w:tc>
        <w:tc>
          <w:tcPr>
            <w:tcW w:w="8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540,0</w:t>
            </w:r>
          </w:p>
        </w:tc>
        <w:tc>
          <w:tcPr>
            <w:tcW w:w="94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548,6</w:t>
            </w:r>
          </w:p>
        </w:tc>
      </w:tr>
      <w:tr>
        <w:trPr/>
        <w:tc>
          <w:tcPr>
            <w:tcW w:w="43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74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Индекс обеспеченности кредита № 24-6/019 не меняется, %</w:t>
            </w:r>
          </w:p>
        </w:tc>
        <w:tc>
          <w:tcPr>
            <w:tcW w:w="85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104,2</w:t>
            </w:r>
          </w:p>
        </w:tc>
        <w:tc>
          <w:tcPr>
            <w:tcW w:w="94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104,2</w:t>
            </w:r>
          </w:p>
        </w:tc>
      </w:tr>
    </w:tbl>
    <w:tbl>
      <w:tblPr>
        <w:tblW w:w="90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51"/>
        <w:gridCol w:w="4050"/>
      </w:tblGrid>
      <w:tr>
        <w:trPr/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Должность подписанта ОАО «Госфинхолдинг»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ОсОО «Ак-Булак»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Сатыбалдиев Н. Т.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ФО-89 «Дополнительное соглашение к договору залога»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9"/>
        <w:gridCol w:w="6939"/>
      </w:tblGrid>
      <w:tr>
        <w:trPr/>
        <w:tc>
          <w:tcPr>
            <w:tcW w:w="26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ФО-89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Дополнительное соглашение к договору залога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12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Внести изменения в действующий договор о залоге: состав предметов, доли отнесения, залоговую стоимость, состав кредитов, реквизиты предметов; соглашение — неотъемлемая часть договора.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куратором при изменении договора о залоге: изменение условий кредитного договора и сторон, переход прав на наследника или нового владельца (Положение №12 п. 6.1–6.2); замена предмета (Положение №12 прил. 1 п. 8, прил. 3 п. 3.5); переоценка и прочие изменения — по ТЗ 12. Пакет изменений собирается в записи «Доп. соглашение» со статусом «оформляется».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 по договору залога; реквизиты — из договора и карточки субъекта.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п. 6.3–6.4: соглашение заключается в той же форме, что и договор (нотариальное удостоверение, регистрация), и является его неотъемлемой частью. Система подставляет реквизиты, перечень изменений «было → стало» и показатели обеспеченности до и после.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присваивает система при регистрации соглашения в карточке договора; в журнал исходящих не попадает.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А4 книжная, docx и pdf. Подписи сторон; подпись от ОАО: </w:t>
            </w:r>
            <w:r>
              <w:rPr>
                <w:shd w:fill="FFF2A8" w:val="clear"/>
              </w:rPr>
              <w:t>должность</w:t>
            </w:r>
            <w:r>
              <w:rPr/>
              <w:t>. Нотариальное удостоверение и регистрация вне системы.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80"/>
        <w:gridCol w:w="7059"/>
      </w:tblGrid>
      <w:tr>
        <w:trPr/>
        <w:tc>
          <w:tcPr>
            <w:tcW w:w="258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705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25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соглашения</w:t>
            </w:r>
          </w:p>
        </w:tc>
        <w:tc>
          <w:tcPr>
            <w:tcW w:w="70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по порядку соглашений договора; дата — при оформлении</w:t>
            </w:r>
          </w:p>
        </w:tc>
      </w:tr>
      <w:tr>
        <w:trPr/>
        <w:tc>
          <w:tcPr>
            <w:tcW w:w="25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о залоге: номер, дата, стороны</w:t>
            </w:r>
          </w:p>
        </w:tc>
        <w:tc>
          <w:tcPr>
            <w:tcW w:w="70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договора</w:t>
            </w:r>
          </w:p>
        </w:tc>
      </w:tr>
      <w:tr>
        <w:trPr/>
        <w:tc>
          <w:tcPr>
            <w:tcW w:w="25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 изменений</w:t>
            </w:r>
          </w:p>
        </w:tc>
        <w:tc>
          <w:tcPr>
            <w:tcW w:w="70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изменение условий кредита, замена залога, переоценка, переход прав — по записи соглашения</w:t>
            </w:r>
          </w:p>
        </w:tc>
      </w:tr>
      <w:tr>
        <w:trPr/>
        <w:tc>
          <w:tcPr>
            <w:tcW w:w="25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изменений «было → стало»</w:t>
            </w:r>
          </w:p>
        </w:tc>
        <w:tc>
          <w:tcPr>
            <w:tcW w:w="70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предметов, доли по кредитам, залоговая стоимость, состав кредитов, реквизиты предмета</w:t>
            </w:r>
          </w:p>
        </w:tc>
      </w:tr>
      <w:tr>
        <w:trPr/>
        <w:tc>
          <w:tcPr>
            <w:tcW w:w="25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Индекс обеспеченности до и после</w:t>
            </w:r>
          </w:p>
        </w:tc>
        <w:tc>
          <w:tcPr>
            <w:tcW w:w="70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по каждому кредиту договора</w:t>
            </w:r>
          </w:p>
        </w:tc>
      </w:tr>
      <w:tr>
        <w:trPr/>
        <w:tc>
          <w:tcPr>
            <w:tcW w:w="25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Решения и согласия</w:t>
            </w:r>
          </w:p>
        </w:tc>
        <w:tc>
          <w:tcPr>
            <w:tcW w:w="70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для замены — согласие отраслевого департамента, заключение Департамента администрирования кредитов; при недообеспеченности — решение комитета</w:t>
            </w:r>
          </w:p>
        </w:tc>
      </w:tr>
      <w:tr>
        <w:trPr/>
        <w:tc>
          <w:tcPr>
            <w:tcW w:w="25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Нотариус, номер и дата удостоверения</w:t>
            </w:r>
          </w:p>
        </w:tc>
        <w:tc>
          <w:tcPr>
            <w:tcW w:w="705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вносятся после оформления</w:t>
            </w:r>
          </w:p>
        </w:tc>
      </w:tr>
      <w:tr>
        <w:trPr/>
        <w:tc>
          <w:tcPr>
            <w:tcW w:w="258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</w:t>
            </w:r>
          </w:p>
        </w:tc>
        <w:tc>
          <w:tcPr>
            <w:tcW w:w="705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ОАО — </w:t>
            </w:r>
            <w:r>
              <w:rPr>
                <w:shd w:fill="FFF2A8" w:val="clear"/>
              </w:rPr>
              <w:t>должность</w:t>
            </w:r>
            <w:r>
              <w:rPr/>
              <w:t xml:space="preserve"> (настройка бланка); залогодатель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Сторона, номер и дата договора в соглашении = карточке договора.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Таблица «было → стало» = изменениям записи соглашения; «было» = состоянию договора до пакета.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Индекс после = расчёт по новому составу; замена ликвидного залога менее ликвидным и замена при просрочке не проходят.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КЗ-14: соглашение № 1 от 09.09.2026 к договору № 24-6/019-З1 уточняет общую площадь предмета П-071 с 540,0 до 548,6 кв.м; индекс обеспеченности кредита не меняется (104,2 %).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Подписанное соглашение хранится в карточке договора; номер соглашения = числу соглашений договора на эту дату.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