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Служебная записка № </w:t>
      </w:r>
      <w:r>
        <w:rPr>
          <w:shd w:fill="FFF2A8" w:val="clear"/>
        </w:rPr>
        <w:t>12-02/0418</w:t>
      </w:r>
      <w:r>
        <w:rPr/>
        <w:t xml:space="preserve"> от </w:t>
      </w:r>
      <w:r>
        <w:rPr>
          <w:shd w:fill="FFF2A8" w:val="clear"/>
        </w:rPr>
        <w:t>25.02.2026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54"/>
        <w:gridCol w:w="4885"/>
      </w:tblGrid>
      <w:tr>
        <w:trPr/>
        <w:tc>
          <w:tcPr>
            <w:tcW w:w="4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88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Директору Департамента правового обеспечения</w:t>
              <w:br/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Heading1"/>
        <w:bidi w:val="0"/>
        <w:rPr/>
      </w:pPr>
      <w:r>
        <w:rPr/>
        <w:t>СЛУЖЕБНАЯ ЗАПИСКА об инициировании принудительного взыскания</w:t>
      </w:r>
    </w:p>
    <w:p>
      <w:pPr>
        <w:pStyle w:val="BodyText"/>
        <w:bidi w:val="0"/>
        <w:ind w:firstLine="709" w:left="0" w:right="0"/>
        <w:rPr/>
      </w:pPr>
      <w:r>
        <w:rPr/>
        <w:t xml:space="preserve">По кредитному договору </w:t>
      </w:r>
      <w:r>
        <w:rPr>
          <w:shd w:fill="FFF2A8" w:val="clear"/>
        </w:rPr>
        <w:t>№ 21-2/077 от 18.05.2021</w:t>
      </w:r>
      <w:r>
        <w:rPr/>
        <w:t xml:space="preserve"> заёмщик </w:t>
      </w:r>
      <w:r>
        <w:rPr>
          <w:shd w:fill="FFF2A8" w:val="clear"/>
        </w:rPr>
        <w:t>ОсОО «Нарын-Агро»</w:t>
      </w:r>
      <w:r>
        <w:rPr/>
        <w:t xml:space="preserve"> с </w:t>
      </w:r>
      <w:r>
        <w:rPr>
          <w:shd w:fill="FFF2A8" w:val="clear"/>
        </w:rPr>
        <w:t>19.08.2025</w:t>
      </w:r>
      <w:r>
        <w:rPr/>
        <w:t xml:space="preserve"> не исполняет обязательства по основной сумме и процентам. С </w:t>
      </w:r>
      <w:r>
        <w:rPr>
          <w:shd w:fill="FFF2A8" w:val="clear"/>
        </w:rPr>
        <w:t>15.02.2026</w:t>
      </w:r>
      <w:r>
        <w:rPr/>
        <w:t xml:space="preserve"> заёмщик отнесён к категории «высокий кредитный риск»; просрочка на </w:t>
      </w:r>
      <w:r>
        <w:rPr>
          <w:shd w:fill="FFF2A8" w:val="clear"/>
        </w:rPr>
        <w:t>25.02.2026</w:t>
      </w:r>
      <w:r>
        <w:rPr/>
        <w:t xml:space="preserve"> — </w:t>
      </w:r>
      <w:r>
        <w:rPr>
          <w:shd w:fill="FFF2A8" w:val="clear"/>
        </w:rPr>
        <w:t>191</w:t>
      </w:r>
      <w:r>
        <w:rPr/>
        <w:t xml:space="preserve"> день.</w:t>
      </w:r>
    </w:p>
    <w:p>
      <w:pPr>
        <w:pStyle w:val="BodyText"/>
        <w:bidi w:val="0"/>
        <w:ind w:firstLine="709" w:left="0" w:right="0"/>
        <w:rPr/>
      </w:pPr>
      <w:r>
        <w:rPr/>
        <w:t xml:space="preserve">Задолженность на </w:t>
      </w:r>
      <w:r>
        <w:rPr>
          <w:shd w:fill="FFF2A8" w:val="clear"/>
        </w:rPr>
        <w:t>25.02.2026</w:t>
      </w:r>
      <w:r>
        <w:rPr/>
        <w:t xml:space="preserve">: основная сумма — </w:t>
      </w:r>
      <w:r>
        <w:rPr>
          <w:shd w:fill="FFF2A8" w:val="clear"/>
        </w:rPr>
        <w:t>1 050 000,00</w:t>
      </w:r>
      <w:r>
        <w:rPr/>
        <w:t xml:space="preserve"> сом (остаток основного долга — </w:t>
      </w:r>
      <w:r>
        <w:rPr>
          <w:shd w:fill="FFF2A8" w:val="clear"/>
        </w:rPr>
        <w:t>2 100 000,00</w:t>
      </w:r>
      <w:r>
        <w:rPr/>
        <w:t xml:space="preserve"> сом), проценты — </w:t>
      </w:r>
      <w:r>
        <w:rPr>
          <w:shd w:fill="FFF2A8" w:val="clear"/>
        </w:rPr>
        <w:t>201 979,17</w:t>
      </w:r>
      <w:r>
        <w:rPr/>
        <w:t xml:space="preserve"> сом, штрафы — </w:t>
      </w:r>
      <w:r>
        <w:rPr>
          <w:shd w:fill="FFF2A8" w:val="clear"/>
        </w:rPr>
        <w:t>61 720,31</w:t>
      </w:r>
      <w:r>
        <w:rPr/>
        <w:t xml:space="preserve"> сом, всего — </w:t>
      </w:r>
      <w:r>
        <w:rPr>
          <w:shd w:fill="FFF2A8" w:val="clear"/>
        </w:rPr>
        <w:t>1 313 699,48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Меры досудебного урегулирования: первичная претензия </w:t>
      </w:r>
      <w:r>
        <w:rPr>
          <w:shd w:fill="FFF2A8" w:val="clear"/>
        </w:rPr>
        <w:t>исх. № 12-04/0712 от 29.08.2025</w:t>
      </w:r>
      <w:r>
        <w:rPr/>
        <w:t xml:space="preserve">, повторная претензия </w:t>
      </w:r>
      <w:r>
        <w:rPr>
          <w:shd w:fill="FFF2A8" w:val="clear"/>
        </w:rPr>
        <w:t>исх. № 12-04/0845 от 22.09.2025</w:t>
      </w:r>
      <w:r>
        <w:rPr/>
        <w:t>; требования исполнены не были.</w:t>
      </w:r>
    </w:p>
    <w:p>
      <w:pPr>
        <w:pStyle w:val="BodyText"/>
        <w:bidi w:val="0"/>
        <w:ind w:firstLine="709" w:left="0" w:right="0"/>
        <w:rPr/>
      </w:pPr>
      <w:r>
        <w:rPr/>
        <w:t>Просим инициировать процедуру принудительного взыскания. Приложения: расчёт задолженности, подписанный отраслевым отделом; заверенные копии кредитного договора, договора о залоге и претензий; заверенная копия акта сверки; копии устава и свидетельства о регистрации заёмщика, сведения о расчётных счетах.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79"/>
        <w:gridCol w:w="4360"/>
      </w:tblGrid>
      <w:tr>
        <w:trPr/>
        <w:tc>
          <w:tcPr>
            <w:tcW w:w="527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Отраслевого департамента промышленности</w:t>
            </w:r>
          </w:p>
        </w:tc>
        <w:tc>
          <w:tcPr>
            <w:tcW w:w="436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ФО-36 «Служебная записка об инициировании принудительного взыскания»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ФО-36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Служебная записка об инициировании принудительного взыскания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Взыскание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Департамент правового обеспечения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Порядок №41 п. 19 пп. 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Передать кредитно-залоговое дело в Департамент правового обеспечения и просить инициировать принудительное взыскание по заёмщику, перешедшему в категорию «высокий кредитный риск».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отраслевого департамента формирует в течение 10 рабочих дней после перехода заёмщика в категорию «высокий кредитный риск» (просрочка от 181 дня; Порядок №41 п. 19 пп. 1–2). Одна записка на кредит.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Подразделение «Департамент правового обеспечения» (отдел по работе с проблемными кредитами).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Текст свёрстан по Порядку №41 п. 19 пп. 2; образца нет. Постоянная часть — просьба инициировать принудительное взыскание и перечень приложений: расчёт задолженности, заверенные копии договора, залога, поручительства, претензии, акта сверки, накладной (если ТМЦ), паспорта, устава и регистрационных документов.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внутренних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директора департамента, ведущего кредит; приложения перечислены в тексте.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510"/>
        <w:gridCol w:w="5129"/>
      </w:tblGrid>
      <w:tr>
        <w:trPr/>
        <w:tc>
          <w:tcPr>
            <w:tcW w:w="45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1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Заёмщик и номер, дата кредитного договора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кредита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перехода в категорию «высокий кредитный риск» и дни просрочки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история категорий риска кредита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Задолженность: основная сумма, проценты, штрафы, всего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расчёт на дату бланка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Принятые меры: реквизиты первичной и повторной претензий, требований поручителям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реестр мер взыскания по кредиту (ФО-17)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Обеспечение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договоры залога и поручительства по кредиту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Перечень приложений и отметка о наличии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состав кредитно-залогового дела; отсутствующий документ система показывает до отправки</w:t>
            </w:r>
          </w:p>
        </w:tc>
      </w:tr>
      <w:tr>
        <w:trPr/>
        <w:tc>
          <w:tcPr>
            <w:tcW w:w="45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1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кредит, либо руководитель регионального представительства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Для КЗ-05 бланк доступен после перехода в категорию «высокий кредитный риск» (15.02.2026); срок 10 рабочих дней отсчитывается от даты перехода.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Задолженность в записке = расчёту ФО-35 на ту же дату (25.02.2026).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Реквизиты претензий в тексте = записям ФО-17, вид «Претензии», по КЗ-05.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Если в деле нет акта сверки, претензии или расчёта, система предупреждает до регистрации.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После регистрации записка видна в ФО-19 и в фазе взыскания кредита.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ФО-36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