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АКТ ОБСЛЕДОВАНИЯ автотранспорта, специальной и сельскохозяйственной техники</w:t>
      </w:r>
    </w:p>
    <w:p>
      <w:pPr>
        <w:pStyle w:val="BodyText"/>
        <w:bidi w:val="0"/>
        <w:ind w:firstLine="709" w:left="0" w:right="0"/>
        <w:rPr/>
      </w:pPr>
      <w:r>
        <w:rPr/>
        <w:t xml:space="preserve">Номер акта: </w:t>
      </w:r>
      <w:r>
        <w:rPr>
          <w:shd w:fill="FFF2A8" w:val="clear"/>
        </w:rPr>
        <w:t>АО-2026/1741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>
          <w:shd w:fill="FFF2A8" w:val="clear"/>
        </w:rPr>
        <w:t>г. Узген, Ошская обл.</w:t>
      </w:r>
      <w:r>
        <w:rPr/>
        <w:t xml:space="preserve"> — </w:t>
      </w:r>
      <w:r>
        <w:rPr>
          <w:shd w:fill="FFF2A8" w:val="clear"/>
        </w:rPr>
        <w:t>18.09.2026</w:t>
      </w:r>
    </w:p>
    <w:p>
      <w:pPr>
        <w:pStyle w:val="BodyText"/>
        <w:bidi w:val="0"/>
        <w:ind w:firstLine="709" w:left="0" w:right="0"/>
        <w:rPr/>
      </w:pPr>
      <w:r>
        <w:rPr/>
        <w:t xml:space="preserve">Заёмщик: </w:t>
      </w:r>
      <w:r>
        <w:rPr>
          <w:shd w:fill="FFF2A8" w:val="clear"/>
        </w:rPr>
        <w:t>ОсОО «Ак-Булак»</w:t>
      </w:r>
      <w:r>
        <w:rPr/>
        <w:t xml:space="preserve">. Залогодатель: </w:t>
      </w:r>
      <w:r>
        <w:rPr>
          <w:shd w:fill="FFF2A8" w:val="clear"/>
        </w:rPr>
        <w:t>ОсОО «Ак-Булак»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Мною, представителем ОАО «Госфинхолдинг» </w:t>
      </w:r>
      <w:r>
        <w:rPr>
          <w:shd w:fill="FFF2A8" w:val="clear"/>
        </w:rPr>
        <w:t>Осмонов Б. Т.</w:t>
      </w:r>
      <w:r>
        <w:rPr/>
        <w:t xml:space="preserve">, произведён осмотр движимого имущества: вид техники — </w:t>
      </w:r>
      <w:r>
        <w:rPr>
          <w:shd w:fill="FFF2A8" w:val="clear"/>
        </w:rPr>
        <w:t>трактор колёсный</w:t>
      </w:r>
      <w:r>
        <w:rPr/>
        <w:t xml:space="preserve">; марка, модель — </w:t>
      </w:r>
      <w:r>
        <w:rPr>
          <w:shd w:fill="FFF2A8" w:val="clear"/>
        </w:rPr>
        <w:t>МТЗ-82.1</w:t>
      </w:r>
      <w:r>
        <w:rPr/>
        <w:t xml:space="preserve">; год выпуска — </w:t>
      </w:r>
      <w:r>
        <w:rPr>
          <w:shd w:fill="FFF2A8" w:val="clear"/>
        </w:rPr>
        <w:t>2014</w:t>
      </w:r>
      <w:r>
        <w:rPr/>
        <w:t xml:space="preserve">; государственный номер — </w:t>
      </w:r>
      <w:r>
        <w:rPr>
          <w:shd w:fill="FFF2A8" w:val="clear"/>
        </w:rPr>
        <w:t>ОШ-Т 4521</w:t>
      </w:r>
      <w:r>
        <w:rPr/>
        <w:t xml:space="preserve">; объём двигателя — </w:t>
      </w:r>
      <w:r>
        <w:rPr>
          <w:shd w:fill="FFF2A8" w:val="clear"/>
        </w:rPr>
        <w:t>4,75 л</w:t>
      </w:r>
      <w:r>
        <w:rPr/>
        <w:t xml:space="preserve">; моточасы — </w:t>
      </w:r>
      <w:r>
        <w:rPr>
          <w:shd w:fill="FFF2A8" w:val="clear"/>
        </w:rPr>
        <w:t>3 840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При осмотре установлено: техническое средство в </w:t>
      </w:r>
      <w:r>
        <w:rPr>
          <w:shd w:fill="FFF2A8" w:val="clear"/>
        </w:rPr>
        <w:t>нерабочем</w:t>
      </w:r>
      <w:r>
        <w:rPr/>
        <w:t xml:space="preserve"> состоянии; износ шин — </w:t>
      </w:r>
      <w:r>
        <w:rPr>
          <w:shd w:fill="FFF2A8" w:val="clear"/>
        </w:rPr>
        <w:t>100 %</w:t>
      </w:r>
      <w:r>
        <w:rPr/>
        <w:t xml:space="preserve">; кабина и кузов — </w:t>
      </w:r>
      <w:r>
        <w:rPr>
          <w:shd w:fill="FFF2A8" w:val="clear"/>
        </w:rPr>
        <w:t>уничтожены огнём</w:t>
      </w:r>
      <w:r>
        <w:rPr/>
        <w:t xml:space="preserve">; лобовые стёкла — </w:t>
      </w:r>
      <w:r>
        <w:rPr>
          <w:shd w:fill="FFF2A8" w:val="clear"/>
        </w:rPr>
        <w:t>отсутствуют</w:t>
      </w:r>
      <w:r>
        <w:rPr/>
        <w:t xml:space="preserve">; прочие узлы — </w:t>
      </w:r>
      <w:r>
        <w:rPr>
          <w:shd w:fill="FFF2A8" w:val="clear"/>
        </w:rPr>
        <w:t>двигатель и трансмиссия повреждены пожаром</w:t>
      </w:r>
      <w:r>
        <w:rPr/>
        <w:t xml:space="preserve">; прицепное и навесное оборудование — </w:t>
      </w:r>
      <w:r>
        <w:rPr>
          <w:shd w:fill="FFF2A8" w:val="clear"/>
        </w:rPr>
        <w:t>не сохранилось</w:t>
      </w:r>
      <w:r>
        <w:rPr/>
        <w:t xml:space="preserve">; фотографий — </w:t>
      </w:r>
      <w:r>
        <w:rPr>
          <w:shd w:fill="FFF2A8" w:val="clear"/>
        </w:rPr>
        <w:t>5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Заключение о состоянии движимого имущества: </w:t>
      </w:r>
      <w:r>
        <w:rPr>
          <w:shd w:fill="FFF2A8" w:val="clear"/>
        </w:rPr>
        <w:t>Техника повреждена пожаром 12.09.2026 (справка МЧС № 311 от 15.09.2026), восстановлению не подлежит. Исход обследования — утраченное.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2"/>
        <w:gridCol w:w="4347"/>
      </w:tblGrid>
      <w:tr>
        <w:trPr/>
        <w:tc>
          <w:tcPr>
            <w:tcW w:w="529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Подпись залогодателя: </w:t>
            </w:r>
            <w:r>
              <w:rPr>
                <w:shd w:fill="FFF2A8" w:val="clear"/>
              </w:rPr>
              <w:t>Директор ОсОО «Ак-Булак»</w:t>
            </w:r>
          </w:p>
        </w:tc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Сатыбалдиев Н. Т.</w:t>
            </w:r>
          </w:p>
        </w:tc>
      </w:tr>
      <w:tr>
        <w:trPr/>
        <w:tc>
          <w:tcPr>
            <w:tcW w:w="5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Подпись представителя ОАО «Госфинхолдинг»:</w:t>
            </w:r>
          </w:p>
        </w:tc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Осмонов Б. Т.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ФО-43 «Акт обследования залога»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ФО-43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Акт обследования залога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подразделение, ведущее кредит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оф. ТЗ ¶356, ¶513–519, ¶859; Порядок №41 п. 10; Положение №12 п. 5.3, прил. 2 пп. 2.3–2.4; ТЗ 12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Положение №12, прил. 1 к прил. 2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Зафиксировать результат обследования заложенного имущества: фактическое наличие, состояние и вывод о предмете залога.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Формируется по каждому обследованию из карточки обследования предмета. Обследования проводятся не реже: платёжеспособные заёмщики — недвижимость раз в 3 года, движимое имущество раз в 2 года; неплатёжеспособные — недвижимость раз в 2 года, движимое раз в год; банкроты — по договору со специальным администратором (Положение №12 прил. 2 п. 2.3).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Адресата нет: акт составляется на месте, подписывается сторонами и подшивается в кредитно-залоговое дело; копию получает подразделение, ведущее кредит.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Для техники (транспортное средство, сельхозтехника) — форма «Акт обследования автотранспорта, специальной и сельскохозяйственной техники» (Положение №12 прил. 2, приложение 1 к ней): состав строк повторяется дословно. Для остальных видов (недвижимость, оборудование и др.) формы нет: акт содержит пять данных по Положению №12 прил. 2 п. 2.4 — заёмщик, залогодатель, наименование имущества и его местонахождение, фактическое состояние, заключение. Постоянная часть — заголовок, перечень строк и строки подписей.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акта присваивает система при внесении обследования в карточку предмета; в журнал исходящих документов акт не попадает.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Подписи по форме: залогодатель, представитель ОАО «Госфинхолдинг»; заёмщик — если не совпадает с залогодателем. Приложение — фотографии.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989"/>
        <w:gridCol w:w="5650"/>
      </w:tblGrid>
      <w:tr>
        <w:trPr/>
        <w:tc>
          <w:tcPr>
            <w:tcW w:w="398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565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39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акта и дата обследования</w:t>
            </w:r>
          </w:p>
        </w:tc>
        <w:tc>
          <w:tcPr>
            <w:tcW w:w="56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присваивает система при внесении обследования; дата — дата обследования</w:t>
            </w:r>
          </w:p>
        </w:tc>
      </w:tr>
      <w:tr>
        <w:trPr/>
        <w:tc>
          <w:tcPr>
            <w:tcW w:w="39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Место составления (город, село)</w:t>
            </w:r>
          </w:p>
        </w:tc>
        <w:tc>
          <w:tcPr>
            <w:tcW w:w="56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адрес предмета из карточки предмета</w:t>
            </w:r>
          </w:p>
        </w:tc>
      </w:tr>
      <w:tr>
        <w:trPr/>
        <w:tc>
          <w:tcPr>
            <w:tcW w:w="39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</w:t>
            </w:r>
          </w:p>
        </w:tc>
        <w:tc>
          <w:tcPr>
            <w:tcW w:w="56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наименование или Ф.И.О. заёмщика по кредиту, который обеспечивает предмет</w:t>
            </w:r>
          </w:p>
        </w:tc>
      </w:tr>
      <w:tr>
        <w:trPr/>
        <w:tc>
          <w:tcPr>
            <w:tcW w:w="39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Залогодатель</w:t>
            </w:r>
          </w:p>
        </w:tc>
        <w:tc>
          <w:tcPr>
            <w:tcW w:w="56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наименование или Ф.И.О. залогодателя из карточки предмета</w:t>
            </w:r>
          </w:p>
        </w:tc>
      </w:tr>
      <w:tr>
        <w:trPr/>
        <w:tc>
          <w:tcPr>
            <w:tcW w:w="39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Представитель ОАО «Госфинхолдинг»</w:t>
            </w:r>
          </w:p>
        </w:tc>
        <w:tc>
          <w:tcPr>
            <w:tcW w:w="56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участник обследования — работник ОАО (куратор или региональное представительство)</w:t>
            </w:r>
          </w:p>
        </w:tc>
      </w:tr>
      <w:tr>
        <w:trPr/>
        <w:tc>
          <w:tcPr>
            <w:tcW w:w="39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Вид техники, марка и модель, год выпуска, государственный номер, объём двигателя, моточасы</w:t>
            </w:r>
          </w:p>
        </w:tc>
        <w:tc>
          <w:tcPr>
            <w:tcW w:w="56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поля предмета по виду «техника»; поле, которого нет в карточке, остаётся пустым и заполняется от руки</w:t>
            </w:r>
          </w:p>
        </w:tc>
      </w:tr>
      <w:tr>
        <w:trPr/>
        <w:tc>
          <w:tcPr>
            <w:tcW w:w="39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Состояние техники: рабочее или нерабочее; износ шин, %; кабина и кузов; лобовые стёкла; прочие узлы; прицепное и навесное оборудование</w:t>
            </w:r>
          </w:p>
        </w:tc>
        <w:tc>
          <w:tcPr>
            <w:tcW w:w="56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вводит обследующий при внесении обследования</w:t>
            </w:r>
          </w:p>
        </w:tc>
      </w:tr>
      <w:tr>
        <w:trPr/>
        <w:tc>
          <w:tcPr>
            <w:tcW w:w="39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Фотографии</w:t>
            </w:r>
          </w:p>
        </w:tc>
        <w:tc>
          <w:tcPr>
            <w:tcW w:w="56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 шт.: с четырёх сторон и салон — приложены к карточке обследования</w:t>
            </w:r>
          </w:p>
        </w:tc>
      </w:tr>
      <w:tr>
        <w:trPr/>
        <w:tc>
          <w:tcPr>
            <w:tcW w:w="39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Заключение о состоянии</w:t>
            </w:r>
          </w:p>
        </w:tc>
        <w:tc>
          <w:tcPr>
            <w:tcW w:w="56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обязательное заключение из карточки обследования; исход — одно из шести значений классификатора: хорошее, удовлетворительное, повреждённое, требует ремонта, аварийное, утраченное</w:t>
            </w:r>
          </w:p>
        </w:tc>
      </w:tr>
      <w:tr>
        <w:trPr/>
        <w:tc>
          <w:tcPr>
            <w:tcW w:w="39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Наименование и местонахождение имущества, фактическое состояние</w:t>
            </w:r>
          </w:p>
        </w:tc>
        <w:tc>
          <w:tcPr>
            <w:tcW w:w="56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для видов, кроме техники, вместо блока о технике: наименование и адрес из карточки предмета, состояние вводит обследующий</w:t>
            </w:r>
          </w:p>
        </w:tc>
      </w:tr>
      <w:tr>
        <w:trPr/>
        <w:tc>
          <w:tcPr>
            <w:tcW w:w="398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Подписи</w:t>
            </w:r>
          </w:p>
        </w:tc>
        <w:tc>
          <w:tcPr>
            <w:tcW w:w="565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залогодатель и представитель ОАО; заёмщик — если не совпадает с залогодателем (либо их представители по доверенности); при отсутствии залогодателя допускается подпись одного представителя ОАО (Положение №12 прил. 2 п. 2.4)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Заёмщик, залогодатель и предмет в акте = данным карточки предмета и договора залога.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техники в акте есть все строки формы Положения №12 прил. 2 (приложение 1); для остальных видов — все пять данных п. 2.4.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Исход обследования в акте = исходу записи в журнале обследований предмета.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КЗ-14, предмет «Трактор МТЗ-82.1»: акт от 18.09.2026, исход «утраченное», 5 фотографий.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КЗ-14, предмет «Здание склада»: акт от 02.06.2026 (виден в ФО-88) содержит заёмщика, залогодателя, наименование и местонахождение, фактическое состояние и заключение.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Дата последнего обследования в карточке предмета = дате акта (для трактора 18.09.2026).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ФО-43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