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12-11/0214</w:t>
      </w:r>
      <w:r>
        <w:rPr/>
        <w:t xml:space="preserve"> от </w:t>
      </w:r>
      <w:r>
        <w:rPr>
          <w:shd w:fill="FFF2A8" w:val="clear"/>
        </w:rPr>
        <w:t>26.02.2026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5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61"/>
        <w:gridCol w:w="4761"/>
      </w:tblGrid>
      <w:tr>
        <w:trPr/>
        <w:tc>
          <w:tcPr>
            <w:tcW w:w="4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Генеральному директору </w:t>
            </w:r>
            <w:r>
              <w:rPr>
                <w:shd w:fill="FFF2A8" w:val="clear"/>
              </w:rPr>
              <w:t>ОАО «Бишкексүт»</w:t>
            </w:r>
            <w:r>
              <w:rPr/>
              <w:br/>
            </w:r>
            <w:r>
              <w:rPr>
                <w:shd w:fill="FFF2A8" w:val="clear"/>
              </w:rPr>
              <w:t>г. Бишкек, ул. Жибек Жолу, 120</w:t>
            </w:r>
          </w:p>
        </w:tc>
      </w:tr>
    </w:tbl>
    <w:p>
      <w:pPr>
        <w:pStyle w:val="Heading1"/>
        <w:bidi w:val="0"/>
        <w:rPr/>
      </w:pPr>
      <w:r>
        <w:rPr/>
        <w:t>О результатах рассмотрения предложения</w:t>
      </w:r>
    </w:p>
    <w:p>
      <w:pPr>
        <w:pStyle w:val="BodyText"/>
        <w:bidi w:val="0"/>
        <w:ind w:firstLine="709" w:left="0" w:right="0"/>
        <w:rPr/>
      </w:pPr>
      <w:r>
        <w:rPr/>
        <w:t xml:space="preserve">Рассмотрев Ваше предложение от </w:t>
      </w:r>
      <w:r>
        <w:rPr>
          <w:shd w:fill="FFF2A8" w:val="clear"/>
        </w:rPr>
        <w:t>20.01.2026</w:t>
      </w:r>
      <w:r>
        <w:rPr/>
        <w:t xml:space="preserve"> о передаче имущества в счёт погашения задолженности, коллегиальный орган ОАО «Госфинхолдинг» решением </w:t>
      </w:r>
      <w:r>
        <w:rPr>
          <w:shd w:fill="FFF2A8" w:val="clear"/>
        </w:rPr>
        <w:t>№ 6 от 24.02.2026</w:t>
      </w:r>
      <w:r>
        <w:rPr/>
        <w:t xml:space="preserve"> постановил по позициям: см. таблицу.</w:t>
      </w:r>
    </w:p>
    <w:p>
      <w:pPr>
        <w:pStyle w:val="BodyText"/>
        <w:bidi w:val="0"/>
        <w:ind w:firstLine="709" w:left="0" w:right="0"/>
        <w:rPr/>
      </w:pPr>
      <w:r>
        <w:rPr/>
        <w:t xml:space="preserve">По принятой позиции просим в течение </w:t>
      </w:r>
      <w:r>
        <w:rPr>
          <w:shd w:fill="FFF2A8" w:val="clear"/>
        </w:rPr>
        <w:t>30 календарных дней</w:t>
      </w:r>
      <w:r>
        <w:rPr/>
        <w:t xml:space="preserve"> со дня решения подписать акт приёма-передачи и обеспечить регистрацию перехода права. Размер доплаты, если она возникает, будет сообщён отдельным уведомлением.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24"/>
        <w:gridCol w:w="2580"/>
        <w:gridCol w:w="1773"/>
        <w:gridCol w:w="1056"/>
        <w:gridCol w:w="2906"/>
      </w:tblGrid>
      <w:tr>
        <w:trPr/>
        <w:tc>
          <w:tcPr>
            <w:tcW w:w="132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позиции</w:t>
            </w:r>
          </w:p>
        </w:tc>
        <w:tc>
          <w:tcPr>
            <w:tcW w:w="258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Предмет</w:t>
            </w:r>
          </w:p>
        </w:tc>
        <w:tc>
          <w:tcPr>
            <w:tcW w:w="17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Стоимость принятия, KGS</w:t>
            </w:r>
          </w:p>
        </w:tc>
        <w:tc>
          <w:tcPr>
            <w:tcW w:w="10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Решение</w:t>
            </w:r>
          </w:p>
        </w:tc>
        <w:tc>
          <w:tcPr>
            <w:tcW w:w="29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Основание отказа</w:t>
            </w:r>
          </w:p>
        </w:tc>
      </w:tr>
      <w:tr>
        <w:trPr/>
        <w:tc>
          <w:tcPr>
            <w:tcW w:w="13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5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Здание молокозавода, г. Бишкек, ул. Жибек Жолу, 120</w:t>
            </w:r>
          </w:p>
        </w:tc>
        <w:tc>
          <w:tcPr>
            <w:tcW w:w="17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4 800 000,00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принять</w:t>
            </w:r>
          </w:p>
        </w:tc>
        <w:tc>
          <w:tcPr>
            <w:tcW w:w="2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2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58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Холодильная камера</w:t>
            </w:r>
          </w:p>
        </w:tc>
        <w:tc>
          <w:tcPr>
            <w:tcW w:w="17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300 000,00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отказать</w:t>
            </w:r>
          </w:p>
        </w:tc>
        <w:tc>
          <w:tcPr>
            <w:tcW w:w="29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оборудование физически изношено (Положение №12 прил. 1 п. 3.5)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ФО-48 «Ответ источнику предложения»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 источнику предложения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Имущество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предложения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Сообщить источнику предложения решение ОАО «Госфинхолдинг» по каждой предложенной позиции имущества: принять в счёт погашения или отказать.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после решения коллегиального органа по предложению. Срок ответа — из документа источника, иначе по умолчанию: ПССИ — 5 рабочих дней, специальный администратор — 10 рабочих дней, должник, залогодатель и третье лицо — 30 календарных дней. Решение после срока не блокируется: оно вносится с пометкой «вынесено после срока ответа».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из карточки предложения (ПССИ, специальный администратор, должник, залогодатель, третье лицо); адрес — из документа-основания или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Образца заказчика нет; текст свёрстан по ТЗ 22. Постоянная часть — ссылка на предложение и решение; по принятым позициям — порядок дальнейших действий (акт приёма-передачи, регистрация перехода права, доплата отдельным уведомлением); по отказанным — основание отказа.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регистрации; факт документа (вид, номер, дата, вложение) сохраняется в карточке предложения.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Подпись: </w:t>
            </w:r>
            <w:r>
              <w:rPr>
                <w:shd w:fill="FFF2A8" w:val="clear"/>
              </w:rPr>
              <w:t>должность</w:t>
            </w:r>
            <w:r>
              <w:rPr/>
              <w:t>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644"/>
        <w:gridCol w:w="4995"/>
      </w:tblGrid>
      <w:tr>
        <w:trPr/>
        <w:tc>
          <w:tcPr>
            <w:tcW w:w="464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9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 и адрес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предложения из карточки предложения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Входящий документ источника: вид, номер, дата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документ-основание предложения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решения, орган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органа по предложению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Позиции: наименование, стоимость принятия, итог «принять» или «отказать»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позиции предложения и итог решения по каждой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отказа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 при итоге «отказать»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дальнейших действий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акта приёма-передачи — 30 календарных дней от решения (настройка)</w:t>
            </w:r>
          </w:p>
        </w:tc>
      </w:tr>
      <w:tr>
        <w:trPr/>
        <w:tc>
          <w:tcPr>
            <w:tcW w:w="464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9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 (настройка бланка)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Позиции, стоимость и итоги в письме = позициям и решению карточки предложения.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Основание отказа указано для каждой отказанной позиции.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Зарегистрированное письмо появляется в карточке предложения как ответ; срок ответа предложения закрыт.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КЗ-16: письмо должнику ОАО «Бишкексүт» от 26.02.2026 — позиция 1 принята (4 800 000,00), позиция 2 отказана.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