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l"/>
        <w:bidi w:val="0"/>
        <w:ind w:hanging="0" w:left="0" w:right="0"/>
        <w:jc w:val="left"/>
        <w:rPr/>
      </w:pPr>
      <w:r>
        <w:rPr/>
        <w:t>ОАО «Госфинхолдинг»</w:t>
      </w:r>
    </w:p>
    <w:p>
      <w:pPr>
        <w:pStyle w:val="BodyTextl"/>
        <w:bidi w:val="0"/>
        <w:ind w:hanging="0" w:left="0" w:right="0"/>
        <w:jc w:val="left"/>
        <w:rPr/>
      </w:pPr>
      <w:r>
        <w:rPr/>
        <w:t xml:space="preserve">Исх. № </w:t>
      </w:r>
      <w:r>
        <w:rPr>
          <w:shd w:fill="FFF2A8" w:val="clear"/>
        </w:rPr>
        <w:t>12-11/2226</w:t>
      </w:r>
      <w:r>
        <w:rPr/>
        <w:t xml:space="preserve"> от </w:t>
      </w:r>
      <w:r>
        <w:rPr>
          <w:shd w:fill="FFF2A8" w:val="clear"/>
        </w:rPr>
        <w:t>01.10.2026</w:t>
      </w:r>
    </w:p>
    <w:p>
      <w:pPr>
        <w:pStyle w:val="BodyTextl"/>
        <w:bidi w:val="0"/>
        <w:ind w:hanging="0" w:left="0" w:right="0"/>
        <w:jc w:val="left"/>
        <w:rPr/>
      </w:pPr>
      <w:r>
        <w:rPr/>
        <w:t> </w:t>
      </w:r>
    </w:p>
    <w:tbl>
      <w:tblPr>
        <w:tblW w:w="714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574"/>
        <w:gridCol w:w="3574"/>
      </w:tblGrid>
      <w:tr>
        <w:trPr/>
        <w:tc>
          <w:tcPr>
            <w:tcW w:w="35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  <w:tc>
          <w:tcPr>
            <w:tcW w:w="3574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 xml:space="preserve">Директору </w:t>
            </w:r>
            <w:r>
              <w:rPr>
                <w:shd w:fill="FFF2A8" w:val="clear"/>
              </w:rPr>
              <w:t>ОсОО «Манас Трейд»</w:t>
            </w:r>
            <w:r>
              <w:rPr/>
              <w:br/>
            </w:r>
            <w:r>
              <w:rPr>
                <w:shd w:fill="FFF2A8" w:val="clear"/>
              </w:rPr>
              <w:t>г. Бишкек, ул. Токтогула, 98</w:t>
            </w:r>
          </w:p>
        </w:tc>
      </w:tr>
    </w:tbl>
    <w:p>
      <w:pPr>
        <w:pStyle w:val="Heading1"/>
        <w:bidi w:val="0"/>
        <w:rPr/>
      </w:pPr>
      <w:r>
        <w:rPr/>
        <w:t>ПРЕТЕНЗИЯ об оплате по договору купли-продажи</w:t>
      </w:r>
    </w:p>
    <w:p>
      <w:pPr>
        <w:pStyle w:val="BodyText"/>
        <w:bidi w:val="0"/>
        <w:ind w:firstLine="709" w:left="0" w:right="0"/>
        <w:rPr/>
      </w:pPr>
      <w:r>
        <w:rPr/>
        <w:t xml:space="preserve">По договору купли-продажи </w:t>
      </w:r>
      <w:r>
        <w:rPr>
          <w:shd w:fill="FFF2A8" w:val="clear"/>
        </w:rPr>
        <w:t>№ КП-4/26 от 04.05.2026</w:t>
      </w:r>
      <w:r>
        <w:rPr/>
        <w:t xml:space="preserve"> (здание молокозавода, цена </w:t>
      </w:r>
      <w:r>
        <w:rPr>
          <w:shd w:fill="FFF2A8" w:val="clear"/>
        </w:rPr>
        <w:t>4 800 000,00</w:t>
      </w:r>
      <w:r>
        <w:rPr/>
        <w:t xml:space="preserve"> сом, рассрочка </w:t>
      </w:r>
      <w:r>
        <w:rPr>
          <w:shd w:fill="FFF2A8" w:val="clear"/>
        </w:rPr>
        <w:t>12 платежей по 400 000,00</w:t>
      </w:r>
      <w:r>
        <w:rPr/>
        <w:t xml:space="preserve">) оплачено </w:t>
      </w:r>
      <w:r>
        <w:rPr>
          <w:shd w:fill="FFF2A8" w:val="clear"/>
        </w:rPr>
        <w:t>3</w:t>
      </w:r>
      <w:r>
        <w:rPr/>
        <w:t xml:space="preserve"> платежа на </w:t>
      </w:r>
      <w:r>
        <w:rPr>
          <w:shd w:fill="FFF2A8" w:val="clear"/>
        </w:rPr>
        <w:t>1 200 000,00</w:t>
      </w:r>
      <w:r>
        <w:rPr/>
        <w:t xml:space="preserve"> сом. Платёж </w:t>
      </w:r>
      <w:r>
        <w:rPr>
          <w:shd w:fill="FFF2A8" w:val="clear"/>
        </w:rPr>
        <w:t>№ 4 от 05.09.2026</w:t>
      </w:r>
      <w:r>
        <w:rPr/>
        <w:t xml:space="preserve"> на </w:t>
      </w:r>
      <w:r>
        <w:rPr>
          <w:shd w:fill="FFF2A8" w:val="clear"/>
        </w:rPr>
        <w:t>400 000,00</w:t>
      </w:r>
      <w:r>
        <w:rPr/>
        <w:t xml:space="preserve"> сом не оплачен.</w:t>
      </w:r>
    </w:p>
    <w:p>
      <w:pPr>
        <w:pStyle w:val="BodyText"/>
        <w:bidi w:val="0"/>
        <w:ind w:firstLine="709" w:left="0" w:right="0"/>
        <w:rPr/>
      </w:pPr>
      <w:r>
        <w:rPr/>
        <w:t>Неустойка по договору (</w:t>
      </w:r>
      <w:r>
        <w:rPr>
          <w:shd w:fill="FFF2A8" w:val="clear"/>
        </w:rPr>
        <w:t>0,1 %</w:t>
      </w:r>
      <w:r>
        <w:rPr/>
        <w:t xml:space="preserve"> в день) за </w:t>
      </w:r>
      <w:r>
        <w:rPr>
          <w:shd w:fill="FFF2A8" w:val="clear"/>
        </w:rPr>
        <w:t>26</w:t>
      </w:r>
      <w:r>
        <w:rPr/>
        <w:t xml:space="preserve"> дней просрочки — </w:t>
      </w:r>
      <w:r>
        <w:rPr>
          <w:shd w:fill="FFF2A8" w:val="clear"/>
        </w:rPr>
        <w:t>10 400,00</w:t>
      </w:r>
      <w:r>
        <w:rPr/>
        <w:t xml:space="preserve"> сом. Требуем в течение </w:t>
      </w:r>
      <w:r>
        <w:rPr>
          <w:shd w:fill="FFF2A8" w:val="clear"/>
        </w:rPr>
        <w:t>10 календарных дней</w:t>
      </w:r>
      <w:r>
        <w:rPr/>
        <w:t xml:space="preserve"> со дня получения оплатить </w:t>
      </w:r>
      <w:r>
        <w:rPr>
          <w:shd w:fill="FFF2A8" w:val="clear"/>
        </w:rPr>
        <w:t>410 400,00</w:t>
      </w:r>
      <w:r>
        <w:rPr/>
        <w:t xml:space="preserve"> сом.</w:t>
      </w:r>
    </w:p>
    <w:p>
      <w:pPr>
        <w:pStyle w:val="BodyText"/>
        <w:bidi w:val="0"/>
        <w:ind w:firstLine="709" w:left="0" w:right="0"/>
        <w:rPr/>
      </w:pPr>
      <w:r>
        <w:rPr/>
        <w:t>При неоплате ОАО «Госфинхолдинг» вправе расторгнуть договор; объект возвращается на учёт, из уплаченного удерживается неустойка, остаток возвращается покупателю.</w:t>
      </w:r>
    </w:p>
    <w:tbl>
      <w:tblPr>
        <w:tblW w:w="5000" w:type="pct"/>
        <w:jc w:val="left"/>
        <w:tblInd w:w="-7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1191"/>
        <w:gridCol w:w="1494"/>
        <w:gridCol w:w="1494"/>
        <w:gridCol w:w="1474"/>
        <w:gridCol w:w="2397"/>
        <w:gridCol w:w="1588"/>
      </w:tblGrid>
      <w:tr>
        <w:trPr/>
        <w:tc>
          <w:tcPr>
            <w:tcW w:w="1191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Платёж</w:t>
            </w:r>
          </w:p>
        </w:tc>
        <w:tc>
          <w:tcPr>
            <w:tcW w:w="1494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Дата</w:t>
            </w:r>
          </w:p>
        </w:tc>
        <w:tc>
          <w:tcPr>
            <w:tcW w:w="1494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Сумма</w:t>
            </w:r>
          </w:p>
        </w:tc>
        <w:tc>
          <w:tcPr>
            <w:tcW w:w="1474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Оплачено</w:t>
            </w:r>
          </w:p>
        </w:tc>
        <w:tc>
          <w:tcPr>
            <w:tcW w:w="2397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Просрочка, дней</w:t>
            </w:r>
          </w:p>
        </w:tc>
        <w:tc>
          <w:tcPr>
            <w:tcW w:w="1588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Неустойка</w:t>
            </w:r>
          </w:p>
        </w:tc>
      </w:tr>
      <w:tr>
        <w:trPr/>
        <w:tc>
          <w:tcPr>
            <w:tcW w:w="1191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</w:t>
            </w:r>
          </w:p>
        </w:tc>
        <w:tc>
          <w:tcPr>
            <w:tcW w:w="1494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05.09.2026</w:t>
            </w:r>
          </w:p>
        </w:tc>
        <w:tc>
          <w:tcPr>
            <w:tcW w:w="1494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400 000,00</w:t>
            </w:r>
          </w:p>
        </w:tc>
        <w:tc>
          <w:tcPr>
            <w:tcW w:w="1474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0,00</w:t>
            </w:r>
          </w:p>
        </w:tc>
        <w:tc>
          <w:tcPr>
            <w:tcW w:w="2397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26</w:t>
            </w:r>
          </w:p>
        </w:tc>
        <w:tc>
          <w:tcPr>
            <w:tcW w:w="1588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10 400,00</w:t>
            </w:r>
          </w:p>
        </w:tc>
      </w:tr>
    </w:tbl>
    <w:tbl>
      <w:tblPr>
        <w:tblW w:w="753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146"/>
        <w:gridCol w:w="3392"/>
      </w:tblGrid>
      <w:tr>
        <w:trPr/>
        <w:tc>
          <w:tcPr>
            <w:tcW w:w="4146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shd w:fill="FFF2A8" w:val="clear"/>
              </w:rPr>
            </w:pPr>
            <w:r>
              <w:rPr>
                <w:shd w:fill="FFF2A8" w:val="clear"/>
              </w:rPr>
              <w:t>Юрист, ведущий договор</w:t>
            </w:r>
          </w:p>
        </w:tc>
        <w:tc>
          <w:tcPr>
            <w:tcW w:w="3392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 xml:space="preserve">______________ </w:t>
            </w:r>
            <w:r>
              <w:rPr>
                <w:shd w:fill="FFF2A8" w:val="clear"/>
              </w:rPr>
              <w:t>Фамилия И. О.</w:t>
            </w:r>
          </w:p>
        </w:tc>
      </w:tr>
    </w:tbl>
    <w:p>
      <w:pPr>
        <w:pStyle w:val="BodyTextl"/>
        <w:bidi w:val="0"/>
        <w:ind w:hanging="0" w:left="0" w:right="0"/>
        <w:jc w:val="left"/>
        <w:rPr/>
      </w:pPr>
      <w:r>
        <w:br w:type="page"/>
      </w:r>
      <w:r>
        <w:rPr/>
        <w:t> </w:t>
      </w:r>
    </w:p>
    <w:p>
      <w:pPr>
        <w:pStyle w:val="Heading2"/>
        <w:bidi w:val="0"/>
        <w:jc w:val="left"/>
        <w:rPr/>
      </w:pPr>
      <w:r>
        <w:rPr/>
        <w:t>ФО-51 «Претензия покупателю» — описание бланка</w:t>
      </w:r>
    </w:p>
    <w:tbl>
      <w:tblPr>
        <w:tblW w:w="5000" w:type="pct"/>
        <w:jc w:val="left"/>
        <w:tblInd w:w="-7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2698"/>
        <w:gridCol w:w="6940"/>
      </w:tblGrid>
      <w:tr>
        <w:trPr/>
        <w:tc>
          <w:tcPr>
            <w:tcW w:w="2698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Номер</w:t>
            </w:r>
          </w:p>
        </w:tc>
        <w:tc>
          <w:tcPr>
            <w:tcW w:w="6940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ФО-51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Название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Претензия покупателю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Часть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Бланк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Модуль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Имущество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Получатель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покупатель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Язык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рус, кырг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Основание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оф. ТЗ ¶965; ТЗ 22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Образец-основа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нет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Зачем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Потребовать от покупателя оплатить просроченный платёж по договору купли-продажи принятого имущества и неустойку, предупредить о расторжении.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Когда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Юрист формирует при неоплате платежа по графику рассрочки (просрочка свыше 5 календарных дней — повод мониторинга); мера вносится в карточку договора: вид «претензия», дата, документ.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Получатель и адрес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Покупатель по договору купли-продажи; адрес — из карточки субъекта.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Текст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Образца заказчика нет; текст свёрстан по ТЗ 22 и оф. ТЗ ¶965: требование оплатить просроченное и неустойку, предупреждение о расторжении договора и возврате объекта на учёт. Ставка неустойки и последствия — из условий договора.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Регистрационный номер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Присваивается журналом исходящих документов при регистрации.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Формат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 xml:space="preserve">А4 книжная, docx и pdf. Подпись: </w:t>
            </w:r>
            <w:r>
              <w:rPr>
                <w:shd w:fill="FFF2A8" w:val="clear"/>
              </w:rPr>
              <w:t>юрист, ведущий договор</w:t>
            </w:r>
            <w:r>
              <w:rPr/>
              <w:t>. Приложение — график платежей.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⚠ </w:t>
            </w:r>
            <w:r>
              <w:rPr>
                <w:b/>
              </w:rPr>
              <w:t>Нужно от заказчика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Кыргызский текст</w:t>
            </w:r>
          </w:p>
        </w:tc>
      </w:tr>
    </w:tbl>
    <w:p>
      <w:pPr>
        <w:pStyle w:val="Heading3"/>
        <w:bidi w:val="0"/>
        <w:jc w:val="left"/>
        <w:rPr/>
      </w:pPr>
      <w:r>
        <w:rPr/>
        <w:t>Что подставляется</w:t>
      </w:r>
    </w:p>
    <w:tbl>
      <w:tblPr>
        <w:tblW w:w="5000" w:type="pct"/>
        <w:jc w:val="left"/>
        <w:tblInd w:w="-7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4598"/>
        <w:gridCol w:w="5041"/>
      </w:tblGrid>
      <w:tr>
        <w:trPr/>
        <w:tc>
          <w:tcPr>
            <w:tcW w:w="4598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Значение</w:t>
            </w:r>
          </w:p>
        </w:tc>
        <w:tc>
          <w:tcPr>
            <w:tcW w:w="5041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Откуда</w:t>
            </w:r>
          </w:p>
        </w:tc>
      </w:tr>
      <w:tr>
        <w:trPr/>
        <w:tc>
          <w:tcPr>
            <w:tcW w:w="45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Покупатель и адрес</w:t>
            </w:r>
          </w:p>
        </w:tc>
        <w:tc>
          <w:tcPr>
            <w:tcW w:w="504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карточка субъекта</w:t>
            </w:r>
          </w:p>
        </w:tc>
      </w:tr>
      <w:tr>
        <w:trPr/>
        <w:tc>
          <w:tcPr>
            <w:tcW w:w="45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Договор купли-продажи: номер, дата, цена, вид (разовый или рассрочка)</w:t>
            </w:r>
          </w:p>
        </w:tc>
        <w:tc>
          <w:tcPr>
            <w:tcW w:w="504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карточка договора</w:t>
            </w:r>
          </w:p>
        </w:tc>
      </w:tr>
      <w:tr>
        <w:trPr/>
        <w:tc>
          <w:tcPr>
            <w:tcW w:w="45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Объект</w:t>
            </w:r>
          </w:p>
        </w:tc>
        <w:tc>
          <w:tcPr>
            <w:tcW w:w="504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наименование имущества</w:t>
            </w:r>
          </w:p>
        </w:tc>
      </w:tr>
      <w:tr>
        <w:trPr/>
        <w:tc>
          <w:tcPr>
            <w:tcW w:w="45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Просроченные платежи: номер, дата, сумма, оплачено, дни просрочки</w:t>
            </w:r>
          </w:p>
        </w:tc>
        <w:tc>
          <w:tcPr>
            <w:tcW w:w="504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график и поступления из модуля платежей</w:t>
            </w:r>
          </w:p>
        </w:tc>
      </w:tr>
      <w:tr>
        <w:trPr/>
        <w:tc>
          <w:tcPr>
            <w:tcW w:w="45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Ставка и сумма неустойки</w:t>
            </w:r>
          </w:p>
        </w:tc>
        <w:tc>
          <w:tcPr>
            <w:tcW w:w="504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ставка из договора (% в день от просроченной суммы) × просроченная сумма × дни</w:t>
            </w:r>
          </w:p>
        </w:tc>
      </w:tr>
      <w:tr>
        <w:trPr/>
        <w:tc>
          <w:tcPr>
            <w:tcW w:w="45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Срок исполнения требования</w:t>
            </w:r>
          </w:p>
        </w:tc>
        <w:tc>
          <w:tcPr>
            <w:tcW w:w="504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задаёт юрист; по умолчанию 10 календарных дней со дня получения</w:t>
            </w:r>
          </w:p>
        </w:tc>
      </w:tr>
      <w:tr>
        <w:trPr/>
        <w:tc>
          <w:tcPr>
            <w:tcW w:w="4598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Подписант</w:t>
            </w:r>
          </w:p>
        </w:tc>
        <w:tc>
          <w:tcPr>
            <w:tcW w:w="5041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юрист, ведущий договор</w:t>
            </w:r>
          </w:p>
        </w:tc>
      </w:tr>
    </w:tbl>
    <w:p>
      <w:pPr>
        <w:pStyle w:val="Heading3"/>
        <w:bidi w:val="0"/>
        <w:jc w:val="left"/>
        <w:rPr/>
      </w:pPr>
      <w:r>
        <w:rPr/>
        <w:t>Правила проверки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Просроченные суммы и дни = графику договора и поступлениям на дату претензии.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Неустойка = просроченная сумма × ставка договора × число дней просрочки.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Зарегистрированная претензия видна в карточке договора купли-продажи с датой и документом.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120"/>
        <w:ind w:hanging="283" w:left="709"/>
        <w:rPr/>
      </w:pPr>
      <w:r>
        <w:rPr/>
        <w:t xml:space="preserve">КЗ-16: платёж № 4 от 05.09.2026 на 400 000,00, просрочка 26 дней на 01.10.2026, неустойка 0,1 % в день = 10 400,00; всего к уплате 410 400,00. </w:t>
      </w:r>
    </w:p>
    <w:sectPr>
      <w:type w:val="nextPage"/>
      <w:pgSz w:w="11906" w:h="16838"/>
      <w:pgMar w:left="1417" w:right="850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240"/>
      <w:ind w:left="240" w:right="240"/>
      <w:jc w:val="center"/>
      <w:outlineLvl w:val="0"/>
    </w:pPr>
    <w:rPr>
      <w:rFonts w:ascii="Liberation Serif" w:hAnsi="Liberation Serif" w:eastAsia="Noto Serif CJK SC" w:cs="Noto Sans Devanagari"/>
      <w:b/>
      <w:bCs/>
      <w:sz w:val="26"/>
      <w:szCs w:val="26"/>
    </w:rPr>
  </w:style>
  <w:style w:type="paragraph" w:styleId="Heading2">
    <w:name w:val="Heading 2"/>
    <w:basedOn w:val="Heading"/>
    <w:next w:val="BodyText"/>
    <w:qFormat/>
    <w:pPr>
      <w:spacing w:before="200" w:after="160"/>
      <w:outlineLvl w:val="1"/>
    </w:pPr>
    <w:rPr>
      <w:rFonts w:ascii="Liberation Serif" w:hAnsi="Liberation Serif" w:eastAsia="Noto Serif CJK SC" w:cs="Noto Sans Devanagari"/>
      <w:b/>
      <w:bCs/>
      <w:sz w:val="26"/>
      <w:szCs w:val="26"/>
    </w:rPr>
  </w:style>
  <w:style w:type="paragraph" w:styleId="Heading3">
    <w:name w:val="Heading 3"/>
    <w:basedOn w:val="Heading"/>
    <w:next w:val="BodyText"/>
    <w:qFormat/>
    <w:pPr>
      <w:spacing w:before="240" w:after="80"/>
      <w:ind w:left="240" w:right="240"/>
      <w:outlineLvl w:val="2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20"/>
      <w:jc w:val="both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odyTextl">
    <w:name w:val="Body Text.l"/>
    <w:basedOn w:val="BodyText"/>
    <w:qFormat/>
    <w:pPr>
      <w:jc w:val="left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ФО-51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