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 xml:space="preserve">ДОПОЛНИТЕЛЬНОЕ СОГЛАШЕНИЕ № </w:t>
      </w:r>
      <w:r>
        <w:rPr>
          <w:shd w:fill="FFF2A8" w:val="clear"/>
        </w:rPr>
        <w:t>2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к кредитному договору </w:t>
      </w:r>
      <w:r>
        <w:rPr>
          <w:shd w:fill="FFF2A8" w:val="clear"/>
        </w:rPr>
        <w:t>№ 20-2/090 от 12.08.2020</w:t>
      </w:r>
      <w:r>
        <w:rPr/>
        <w:t xml:space="preserve">, </w:t>
      </w:r>
      <w:r>
        <w:rPr>
          <w:shd w:fill="FFF2A8" w:val="clear"/>
        </w:rPr>
        <w:t>г. Бишкек</w:t>
      </w:r>
      <w:r>
        <w:rPr/>
        <w:t xml:space="preserve">, </w:t>
      </w:r>
      <w:r>
        <w:rPr>
          <w:shd w:fill="FFF2A8" w:val="clear"/>
        </w:rPr>
        <w:t>08.09.2026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76"/>
        <w:gridCol w:w="5263"/>
      </w:tblGrid>
      <w:tr>
        <w:trPr/>
        <w:tc>
          <w:tcPr>
            <w:tcW w:w="4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26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ОАО «Госфинхолдинг» («Кредитор») и </w:t>
            </w:r>
            <w:r>
              <w:rPr>
                <w:shd w:fill="FFF2A8" w:val="clear"/>
              </w:rPr>
              <w:t>ОсОО «Кара-Балта Мел»</w:t>
            </w:r>
            <w:r>
              <w:rPr/>
              <w:t xml:space="preserve"> («Заёмщик»)</w:t>
            </w:r>
          </w:p>
        </w:tc>
      </w:tr>
    </w:tbl>
    <w:p>
      <w:pPr>
        <w:pStyle w:val="Heading1"/>
        <w:bidi w:val="0"/>
        <w:rPr/>
      </w:pPr>
      <w:r>
        <w:rPr/>
        <w:t>ДОПОЛНИТЕЛЬНОЕ СОГЛАШЕНИЕ</w:t>
      </w:r>
    </w:p>
    <w:p>
      <w:pPr>
        <w:pStyle w:val="BodyText"/>
        <w:bidi w:val="0"/>
        <w:ind w:firstLine="709" w:left="0" w:right="0"/>
        <w:rPr/>
      </w:pPr>
      <w:r>
        <w:rPr/>
        <w:t xml:space="preserve">На основании </w:t>
      </w:r>
      <w:r>
        <w:rPr>
          <w:shd w:fill="FFF2A8" w:val="clear"/>
        </w:rPr>
        <w:t>решения комитета № 31 от 10.08.2026</w:t>
      </w:r>
      <w:r>
        <w:rPr/>
        <w:t xml:space="preserve"> и </w:t>
      </w:r>
      <w:r>
        <w:rPr>
          <w:shd w:fill="FFF2A8" w:val="clear"/>
        </w:rPr>
        <w:t>решения уполномоченного государственного органа № 14/218 от 28.08.2026</w:t>
      </w:r>
      <w:r>
        <w:rPr/>
        <w:t xml:space="preserve"> стороны внесли в договор изменения: пункты договора изложить в следующей редакции.</w:t>
      </w:r>
    </w:p>
    <w:p>
      <w:pPr>
        <w:pStyle w:val="BodyText"/>
        <w:bidi w:val="0"/>
        <w:ind w:firstLine="709" w:left="0" w:right="0"/>
        <w:rPr/>
      </w:pPr>
      <w:r>
        <w:rPr/>
        <w:t xml:space="preserve">Остальные условия договора не изменяются. Новые условия действуют с </w:t>
      </w:r>
      <w:r>
        <w:rPr>
          <w:shd w:fill="FFF2A8" w:val="clear"/>
        </w:rPr>
        <w:t>01.10.2026</w:t>
      </w:r>
      <w:r>
        <w:rPr/>
        <w:t>. График платежей в новой редакции — в приложении 1.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391"/>
        <w:gridCol w:w="2577"/>
        <w:gridCol w:w="2671"/>
      </w:tblGrid>
      <w:tr>
        <w:trPr/>
        <w:tc>
          <w:tcPr>
            <w:tcW w:w="43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Пункт договора</w:t>
            </w:r>
          </w:p>
        </w:tc>
        <w:tc>
          <w:tcPr>
            <w:tcW w:w="25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Было</w:t>
            </w:r>
          </w:p>
        </w:tc>
        <w:tc>
          <w:tcPr>
            <w:tcW w:w="26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Стало</w:t>
            </w:r>
          </w:p>
        </w:tc>
      </w:tr>
      <w:tr>
        <w:trPr/>
        <w:tc>
          <w:tcPr>
            <w:tcW w:w="4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п. </w:t>
            </w:r>
            <w:r>
              <w:rPr>
                <w:shd w:fill="FFF2A8" w:val="clear"/>
              </w:rPr>
              <w:t>2.3</w:t>
            </w:r>
            <w:r>
              <w:rPr/>
              <w:t xml:space="preserve"> Процентная ставка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10,00 % годовых</w:t>
            </w:r>
          </w:p>
        </w:tc>
        <w:tc>
          <w:tcPr>
            <w:tcW w:w="2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5,00 % годовых</w:t>
            </w:r>
          </w:p>
        </w:tc>
      </w:tr>
      <w:tr>
        <w:trPr/>
        <w:tc>
          <w:tcPr>
            <w:tcW w:w="4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п. </w:t>
            </w:r>
            <w:r>
              <w:rPr>
                <w:shd w:fill="FFF2A8" w:val="clear"/>
              </w:rPr>
              <w:t>2.4</w:t>
            </w:r>
            <w:r>
              <w:rPr/>
              <w:t xml:space="preserve"> Срок погашения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15.03.2028</w:t>
            </w:r>
          </w:p>
        </w:tc>
        <w:tc>
          <w:tcPr>
            <w:tcW w:w="2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15.10.2030</w:t>
            </w:r>
          </w:p>
        </w:tc>
      </w:tr>
      <w:tr>
        <w:trPr/>
        <w:tc>
          <w:tcPr>
            <w:tcW w:w="4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(приложение): периодичность платежей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ежемесячно</w:t>
            </w:r>
          </w:p>
        </w:tc>
        <w:tc>
          <w:tcPr>
            <w:tcW w:w="2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ежеквартально</w:t>
            </w:r>
          </w:p>
        </w:tc>
      </w:tr>
      <w:tr>
        <w:trPr/>
        <w:tc>
          <w:tcPr>
            <w:tcW w:w="43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(приложение): льгота по основному долгу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  <w:tc>
          <w:tcPr>
            <w:tcW w:w="26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 месяцев (до 31.03.2027)</w:t>
            </w:r>
          </w:p>
        </w:tc>
      </w:tr>
      <w:tr>
        <w:trPr/>
        <w:tc>
          <w:tcPr>
            <w:tcW w:w="43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(приложение): платёж по основному долгу</w:t>
            </w:r>
          </w:p>
        </w:tc>
        <w:tc>
          <w:tcPr>
            <w:tcW w:w="25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 сом, 18 платежей</w:t>
            </w:r>
          </w:p>
        </w:tc>
        <w:tc>
          <w:tcPr>
            <w:tcW w:w="26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120 000,00 сом, 15 платежей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67"/>
        <w:gridCol w:w="4572"/>
      </w:tblGrid>
      <w:tr>
        <w:trPr/>
        <w:tc>
          <w:tcPr>
            <w:tcW w:w="506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Кредитора: </w:t>
            </w:r>
            <w:r>
              <w:rPr>
                <w:shd w:fill="FFF2A8" w:val="clear"/>
              </w:rPr>
              <w:t>должность</w:t>
            </w:r>
            <w:r>
              <w:rPr/>
              <w:t xml:space="preserve"> </w:t>
            </w:r>
            <w:r>
              <w:rPr>
                <w:shd w:fill="FFF2A8" w:val="clear"/>
              </w:rPr>
              <w:t>Фамилия И. О.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От Заёмщика: </w:t>
            </w:r>
            <w:r>
              <w:rPr>
                <w:shd w:fill="FFF2A8" w:val="clear"/>
              </w:rPr>
              <w:t>должность</w:t>
            </w:r>
            <w:r>
              <w:rPr/>
              <w:t xml:space="preserve">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ФО-81 «Дополнительное соглашение к кредитному договору»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Дополнительное соглашение к кредитному договору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ПКМ №14 п. 96; ТЗ 15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Оформить изменение условий действующего кредитного договора: допсоглашение к договору (ПКМ №14 п. 96).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решения о реструктуризации (или иного изменения условий) и до внесения новых условий в кредит; формируется по расчёту реструктуризации или по прямому изменению условий кредита.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— лицо в роли «заёмщик» по кредиту; поручители и залогодатели получают экземпляр, если их обязательства затронуты.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взят из ПКМ №14 п. 96 и порядка реструктуризации; нумерация пунктов — по форме кредитного договора (приложение 5): ставка — п. 2.3, срок погашения — п. 2.4, периодичность, льгота и платёж — в графике погашения (приложение). Постоянная часть — ссылка на договор, перечень изменённых пунктов, условие «остальные условия не изменяются».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Порядковый номер допсоглашения по кредиту присваивается системой при формировании; журналом документооборота не регистрируется.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сторон; приложения — новый график погашения.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48"/>
        <w:gridCol w:w="6091"/>
      </w:tblGrid>
      <w:tr>
        <w:trPr/>
        <w:tc>
          <w:tcPr>
            <w:tcW w:w="35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0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допсоглашения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порядковый номер допсоглашения по кредиту; дата вступления — из расчёта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Договор: номер, дата, стороны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Основание: акт органа, решение комитета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реквизиты, внесённые при реструктуризации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Изменяемые пункты: прежняя и новая редакция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расчёта реструктуризации или журнал условий кредита; номера пунктов договора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платежей в новой редакции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 по ФО-42</w:t>
            </w:r>
          </w:p>
        </w:tc>
      </w:tr>
      <w:tr>
        <w:trPr/>
        <w:tc>
          <w:tcPr>
            <w:tcW w:w="35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 сторон</w:t>
            </w:r>
          </w:p>
        </w:tc>
        <w:tc>
          <w:tcPr>
            <w:tcW w:w="60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Холдинга, руководитель заёмщика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КЗ-06 в допсоглашении только те условия, которые изменены расчётом реструктуризации; остальные не перечислены.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Новые значения совпадают с результатом расчёта (ФО-80) по тому же кредиту.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КЗ-06 допсоглашение содержит ссылку на решение комитета и на решение уполномоченного государственного органа.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подписания и внесения условий в кредит график в приложении = действующему графику; КЗ-06: номер допсоглашения — 2.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