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D1C93" w14:textId="77777777" w:rsidR="0000355D" w:rsidRPr="002B3739" w:rsidRDefault="0000355D" w:rsidP="0000355D">
      <w:pPr>
        <w:spacing w:before="240" w:after="240" w:line="480" w:lineRule="auto"/>
        <w:jc w:val="center"/>
        <w:rPr>
          <w:rFonts w:ascii="Times New Roman" w:hAnsi="Times New Roman" w:cs="Times New Roman"/>
          <w:b/>
          <w:bCs/>
          <w:sz w:val="24"/>
          <w:szCs w:val="24"/>
        </w:rPr>
      </w:pPr>
      <w:r w:rsidRPr="002B3739">
        <w:rPr>
          <w:rFonts w:ascii="Times New Roman" w:hAnsi="Times New Roman" w:cs="Times New Roman"/>
          <w:b/>
          <w:sz w:val="24"/>
          <w:szCs w:val="24"/>
        </w:rPr>
        <w:t>KWAME NKRUMAH UNIVERSITY OF SCIENCE AND TECHNOLOGY</w:t>
      </w:r>
    </w:p>
    <w:p w14:paraId="49EE10B0" w14:textId="77777777" w:rsidR="0000355D" w:rsidRPr="002B3739" w:rsidRDefault="0000355D" w:rsidP="0000355D">
      <w:pPr>
        <w:spacing w:before="240" w:after="240" w:line="480" w:lineRule="auto"/>
        <w:jc w:val="both"/>
        <w:rPr>
          <w:rFonts w:ascii="Times New Roman" w:hAnsi="Times New Roman" w:cs="Times New Roman"/>
          <w:b/>
          <w:bCs/>
          <w:sz w:val="24"/>
          <w:szCs w:val="24"/>
        </w:rPr>
      </w:pPr>
    </w:p>
    <w:p w14:paraId="4D030F3F" w14:textId="77777777" w:rsidR="0000355D" w:rsidRPr="002B3739" w:rsidRDefault="0000355D" w:rsidP="0000355D">
      <w:pPr>
        <w:spacing w:before="240" w:after="240" w:line="480" w:lineRule="auto"/>
        <w:jc w:val="both"/>
        <w:rPr>
          <w:rFonts w:ascii="Times New Roman" w:hAnsi="Times New Roman" w:cs="Times New Roman"/>
          <w:b/>
          <w:bCs/>
          <w:sz w:val="24"/>
          <w:szCs w:val="24"/>
        </w:rPr>
      </w:pPr>
    </w:p>
    <w:p w14:paraId="096CBF87" w14:textId="77777777" w:rsidR="0000355D" w:rsidRPr="002B3739" w:rsidRDefault="0000355D" w:rsidP="0000355D">
      <w:pPr>
        <w:spacing w:before="240" w:after="240" w:line="480" w:lineRule="auto"/>
        <w:jc w:val="both"/>
        <w:rPr>
          <w:rFonts w:ascii="Times New Roman" w:hAnsi="Times New Roman" w:cs="Times New Roman"/>
          <w:b/>
          <w:bCs/>
          <w:sz w:val="24"/>
          <w:szCs w:val="24"/>
        </w:rPr>
      </w:pPr>
    </w:p>
    <w:p w14:paraId="2BFC5724" w14:textId="77777777" w:rsidR="0000355D" w:rsidRPr="002B3739" w:rsidRDefault="0000355D" w:rsidP="0000355D">
      <w:pPr>
        <w:spacing w:before="240" w:after="240" w:line="480" w:lineRule="auto"/>
        <w:jc w:val="center"/>
        <w:rPr>
          <w:rFonts w:ascii="Times New Roman" w:hAnsi="Times New Roman" w:cs="Times New Roman"/>
          <w:b/>
          <w:bCs/>
          <w:sz w:val="24"/>
          <w:szCs w:val="24"/>
        </w:rPr>
      </w:pPr>
      <w:r w:rsidRPr="002B3739">
        <w:rPr>
          <w:rFonts w:ascii="Times New Roman" w:hAnsi="Times New Roman" w:cs="Times New Roman"/>
          <w:b/>
          <w:bCs/>
          <w:sz w:val="24"/>
          <w:szCs w:val="24"/>
        </w:rPr>
        <w:t>Research proposal</w:t>
      </w:r>
    </w:p>
    <w:p w14:paraId="0AA7C34B" w14:textId="77777777" w:rsidR="0000355D" w:rsidRPr="002B3739" w:rsidRDefault="0000355D" w:rsidP="0000355D">
      <w:pPr>
        <w:spacing w:before="240" w:after="240" w:line="480" w:lineRule="auto"/>
        <w:jc w:val="center"/>
        <w:rPr>
          <w:rFonts w:ascii="Times New Roman" w:hAnsi="Times New Roman" w:cs="Times New Roman"/>
          <w:b/>
          <w:bCs/>
          <w:sz w:val="24"/>
          <w:szCs w:val="24"/>
        </w:rPr>
      </w:pPr>
    </w:p>
    <w:p w14:paraId="60FBC519" w14:textId="11D6BF34" w:rsidR="0000355D" w:rsidRPr="002B3739" w:rsidRDefault="0000355D" w:rsidP="0000355D">
      <w:pPr>
        <w:spacing w:before="240" w:after="240" w:line="480" w:lineRule="auto"/>
        <w:jc w:val="center"/>
        <w:rPr>
          <w:rFonts w:ascii="Times New Roman" w:hAnsi="Times New Roman" w:cs="Times New Roman"/>
          <w:b/>
        </w:rPr>
      </w:pPr>
      <w:r w:rsidRPr="0000355D">
        <w:rPr>
          <w:rFonts w:ascii="Times New Roman" w:hAnsi="Times New Roman" w:cs="Times New Roman"/>
          <w:b/>
          <w:bCs/>
        </w:rPr>
        <w:t>ENVIRONMENTAL AND SOCIAL SUSTAINABILITY ACCOUNTING PRACTICES IN GHANA; CORPORATE GOVERNANCE PERSPECTIVE.</w:t>
      </w:r>
    </w:p>
    <w:p w14:paraId="35C53A68" w14:textId="77777777" w:rsidR="0000355D" w:rsidRPr="002B3739" w:rsidRDefault="0000355D" w:rsidP="0000355D">
      <w:pPr>
        <w:spacing w:before="240" w:after="240" w:line="480" w:lineRule="auto"/>
        <w:jc w:val="both"/>
        <w:rPr>
          <w:rFonts w:ascii="Times New Roman" w:hAnsi="Times New Roman" w:cs="Times New Roman"/>
          <w:sz w:val="24"/>
          <w:szCs w:val="24"/>
        </w:rPr>
      </w:pPr>
    </w:p>
    <w:p w14:paraId="6A5E77F4" w14:textId="77777777" w:rsidR="0000355D" w:rsidRPr="002B3739" w:rsidRDefault="0000355D" w:rsidP="0000355D">
      <w:pPr>
        <w:spacing w:before="240" w:after="240" w:line="480" w:lineRule="auto"/>
        <w:jc w:val="both"/>
        <w:rPr>
          <w:rFonts w:ascii="Times New Roman" w:hAnsi="Times New Roman" w:cs="Times New Roman"/>
          <w:sz w:val="24"/>
          <w:szCs w:val="24"/>
        </w:rPr>
      </w:pPr>
    </w:p>
    <w:p w14:paraId="452CB31E" w14:textId="77777777" w:rsidR="0000355D" w:rsidRPr="002B3739" w:rsidRDefault="0000355D" w:rsidP="0000355D">
      <w:pPr>
        <w:spacing w:before="240" w:after="240" w:line="480" w:lineRule="auto"/>
        <w:jc w:val="center"/>
        <w:rPr>
          <w:rFonts w:ascii="Times New Roman" w:hAnsi="Times New Roman" w:cs="Times New Roman"/>
          <w:sz w:val="24"/>
          <w:szCs w:val="24"/>
        </w:rPr>
      </w:pPr>
      <w:r w:rsidRPr="002B3739">
        <w:rPr>
          <w:rFonts w:ascii="Times New Roman" w:hAnsi="Times New Roman" w:cs="Times New Roman"/>
          <w:sz w:val="24"/>
          <w:szCs w:val="24"/>
        </w:rPr>
        <w:t>By</w:t>
      </w:r>
    </w:p>
    <w:p w14:paraId="5EE059D1" w14:textId="03015657" w:rsidR="0000355D" w:rsidRPr="002B3739" w:rsidRDefault="0000355D" w:rsidP="0000355D">
      <w:pPr>
        <w:spacing w:before="240" w:after="240" w:line="480" w:lineRule="auto"/>
        <w:jc w:val="center"/>
        <w:rPr>
          <w:rFonts w:ascii="Times New Roman" w:hAnsi="Times New Roman" w:cs="Times New Roman"/>
          <w:sz w:val="24"/>
          <w:szCs w:val="24"/>
        </w:rPr>
      </w:pPr>
      <w:r>
        <w:rPr>
          <w:rFonts w:ascii="Times New Roman" w:hAnsi="Times New Roman" w:cs="Times New Roman"/>
          <w:sz w:val="24"/>
          <w:szCs w:val="24"/>
        </w:rPr>
        <w:t>Student Name</w:t>
      </w:r>
    </w:p>
    <w:p w14:paraId="5FE2918C" w14:textId="77777777" w:rsidR="0000355D" w:rsidRPr="002B3739" w:rsidRDefault="0000355D" w:rsidP="0000355D">
      <w:pPr>
        <w:spacing w:before="240" w:after="240" w:line="480" w:lineRule="auto"/>
        <w:jc w:val="both"/>
        <w:rPr>
          <w:rFonts w:ascii="Times New Roman" w:hAnsi="Times New Roman" w:cs="Times New Roman"/>
          <w:b/>
          <w:sz w:val="24"/>
          <w:szCs w:val="24"/>
        </w:rPr>
      </w:pPr>
    </w:p>
    <w:p w14:paraId="11F693E9" w14:textId="77777777" w:rsidR="0000355D" w:rsidRPr="002B3739" w:rsidRDefault="0000355D" w:rsidP="0000355D">
      <w:pPr>
        <w:spacing w:before="240" w:after="240" w:line="480" w:lineRule="auto"/>
        <w:jc w:val="center"/>
        <w:rPr>
          <w:rFonts w:ascii="Times New Roman" w:hAnsi="Times New Roman" w:cs="Times New Roman"/>
          <w:b/>
          <w:sz w:val="24"/>
          <w:szCs w:val="24"/>
        </w:rPr>
      </w:pPr>
      <w:r w:rsidRPr="002B3739">
        <w:rPr>
          <w:rFonts w:ascii="Times New Roman" w:hAnsi="Times New Roman" w:cs="Times New Roman"/>
          <w:b/>
          <w:sz w:val="24"/>
          <w:szCs w:val="24"/>
        </w:rPr>
        <w:t>Supervisor:</w:t>
      </w:r>
    </w:p>
    <w:p w14:paraId="3B950246" w14:textId="7E4278DD" w:rsidR="0000355D" w:rsidRPr="002B3739" w:rsidRDefault="0000355D" w:rsidP="0000355D">
      <w:pPr>
        <w:spacing w:before="240" w:after="240" w:line="480" w:lineRule="auto"/>
        <w:jc w:val="center"/>
        <w:rPr>
          <w:rFonts w:ascii="Times New Roman" w:hAnsi="Times New Roman" w:cs="Times New Roman"/>
          <w:sz w:val="24"/>
          <w:szCs w:val="24"/>
        </w:rPr>
      </w:pPr>
      <w:r>
        <w:rPr>
          <w:rFonts w:ascii="Times New Roman" w:hAnsi="Times New Roman" w:cs="Times New Roman"/>
          <w:b/>
          <w:sz w:val="24"/>
          <w:szCs w:val="24"/>
        </w:rPr>
        <w:t>Supervisor Name</w:t>
      </w:r>
    </w:p>
    <w:p w14:paraId="5E850CD9" w14:textId="77777777" w:rsidR="0000355D" w:rsidRPr="002B3739" w:rsidRDefault="0000355D" w:rsidP="0000355D">
      <w:pPr>
        <w:spacing w:before="240" w:after="240" w:line="480" w:lineRule="auto"/>
        <w:jc w:val="both"/>
        <w:rPr>
          <w:rFonts w:ascii="Times New Roman" w:hAnsi="Times New Roman" w:cs="Times New Roman"/>
          <w:b/>
          <w:sz w:val="24"/>
          <w:szCs w:val="24"/>
        </w:rPr>
      </w:pPr>
    </w:p>
    <w:p w14:paraId="3E5177DF" w14:textId="100649A0" w:rsidR="0000355D" w:rsidRDefault="0000355D" w:rsidP="004B5565">
      <w:pPr>
        <w:spacing w:before="240" w:after="240" w:line="480" w:lineRule="auto"/>
        <w:jc w:val="center"/>
        <w:rPr>
          <w:rFonts w:ascii="Times New Roman" w:hAnsi="Times New Roman" w:cs="Times New Roman"/>
          <w:b/>
          <w:sz w:val="24"/>
          <w:szCs w:val="24"/>
        </w:rPr>
      </w:pPr>
      <w:r w:rsidRPr="002B3739">
        <w:rPr>
          <w:rFonts w:ascii="Times New Roman" w:hAnsi="Times New Roman" w:cs="Times New Roman"/>
          <w:b/>
          <w:sz w:val="24"/>
          <w:szCs w:val="24"/>
        </w:rPr>
        <w:t>Marc</w:t>
      </w:r>
      <w:r>
        <w:rPr>
          <w:rFonts w:ascii="Times New Roman" w:hAnsi="Times New Roman" w:cs="Times New Roman"/>
          <w:b/>
          <w:sz w:val="24"/>
          <w:szCs w:val="24"/>
        </w:rPr>
        <w:t>h, 2025</w:t>
      </w:r>
    </w:p>
    <w:p w14:paraId="7E534D3E" w14:textId="77777777" w:rsidR="0000355D" w:rsidRPr="0000355D" w:rsidRDefault="0000355D" w:rsidP="0000355D">
      <w:pPr>
        <w:pStyle w:val="Heading1"/>
        <w:rPr>
          <w:rFonts w:ascii="Times New Roman" w:hAnsi="Times New Roman" w:cs="Times New Roman"/>
          <w:b/>
          <w:bCs/>
          <w:color w:val="auto"/>
          <w:sz w:val="24"/>
          <w:szCs w:val="24"/>
        </w:rPr>
      </w:pPr>
      <w:bookmarkStart w:id="0" w:name="_Toc526436601"/>
      <w:r w:rsidRPr="0000355D">
        <w:rPr>
          <w:rFonts w:ascii="Times New Roman" w:hAnsi="Times New Roman" w:cs="Times New Roman"/>
          <w:b/>
          <w:bCs/>
          <w:color w:val="auto"/>
          <w:sz w:val="24"/>
          <w:szCs w:val="24"/>
        </w:rPr>
        <w:lastRenderedPageBreak/>
        <w:t>Background of the Study</w:t>
      </w:r>
      <w:bookmarkEnd w:id="0"/>
    </w:p>
    <w:p w14:paraId="3D516D06" w14:textId="6EB4632C" w:rsidR="0000355D" w:rsidRPr="0000355D" w:rsidRDefault="0000355D" w:rsidP="0000355D">
      <w:pPr>
        <w:spacing w:line="480" w:lineRule="auto"/>
        <w:jc w:val="both"/>
        <w:rPr>
          <w:rFonts w:ascii="Times New Roman" w:hAnsi="Times New Roman" w:cs="Times New Roman"/>
          <w:sz w:val="24"/>
          <w:szCs w:val="24"/>
        </w:rPr>
      </w:pPr>
      <w:r w:rsidRPr="0000355D">
        <w:rPr>
          <w:rFonts w:ascii="Times New Roman" w:hAnsi="Times New Roman" w:cs="Times New Roman"/>
          <w:sz w:val="24"/>
          <w:szCs w:val="24"/>
        </w:rPr>
        <w:t>The fact that corporate governance in developing economies with huge sustainability issues is absolutely a critical component, thus Environmental and social sustainability accounting (ESSA) has come into being (Juusola and Srouji 2022). It is argued for corporate accountability in the reporting of sustainability from the environmental degradation and social inequality exacerbated by raging industrialization and urbanization in Ghana. However, whilst the Ghana Companies Act (Act 992) as amended and the Securities and Exchange Commission (SEC) Corporate Governance Code provide a regulatory muscle to encourage sustainability accounting practices, they remain largely voluntary and inconsistent as observed by AMPEDU et al 2024. In this regard, this research intends to investigate how corporate governance affects ESSA practices among Ghanaian firms, while critically assessing the efficiency of governance mechanisms in guiding sustainability reporting.</w:t>
      </w:r>
    </w:p>
    <w:p w14:paraId="77D051F9" w14:textId="77777777" w:rsidR="0000355D" w:rsidRPr="0000355D" w:rsidRDefault="0000355D" w:rsidP="0000355D">
      <w:pPr>
        <w:spacing w:line="480" w:lineRule="auto"/>
        <w:jc w:val="both"/>
        <w:rPr>
          <w:rFonts w:ascii="Times New Roman" w:hAnsi="Times New Roman" w:cs="Times New Roman"/>
          <w:sz w:val="24"/>
          <w:szCs w:val="24"/>
        </w:rPr>
      </w:pPr>
      <w:r w:rsidRPr="0000355D">
        <w:rPr>
          <w:rFonts w:ascii="Times New Roman" w:hAnsi="Times New Roman" w:cs="Times New Roman"/>
          <w:sz w:val="24"/>
          <w:szCs w:val="24"/>
        </w:rPr>
        <w:t>The way corporate governance impacts the determination of the integration of environmental or social concerns on the financial reporting structures of an organization is a role that corporate governance plays. Ghanaian corporate landscape is noted to be concentrated in terms of ownership structures, weak enforcement of the sustainability regulations, and increases in demand for corporate transparency (Bayong et al., 2024). According to the existing literature, existing board composition, influence and regulatory compliance play a significant role in sustainability accounting practice (Moses et al., 2020). Nevertheless, the levels of commitment of Ghanaian firms to sustainability disclosure are not uniform as they give more weight to financial performance than long term sustainability goals. A concern is whether governance structures of Ghana are sufficiently able to enforce compatibility between sustainability integration or it constitutes a symbolic compliance exercise.</w:t>
      </w:r>
    </w:p>
    <w:p w14:paraId="0DE5B2A6" w14:textId="77777777" w:rsidR="0000355D" w:rsidRPr="0000355D" w:rsidRDefault="0000355D" w:rsidP="0000355D">
      <w:pPr>
        <w:spacing w:line="480" w:lineRule="auto"/>
        <w:jc w:val="both"/>
        <w:rPr>
          <w:rFonts w:ascii="Times New Roman" w:hAnsi="Times New Roman" w:cs="Times New Roman"/>
          <w:sz w:val="24"/>
          <w:szCs w:val="24"/>
        </w:rPr>
      </w:pPr>
    </w:p>
    <w:p w14:paraId="57E46DA3" w14:textId="194D8706" w:rsidR="0000355D" w:rsidRPr="0000355D" w:rsidRDefault="0000355D" w:rsidP="0000355D">
      <w:pPr>
        <w:spacing w:line="480" w:lineRule="auto"/>
        <w:jc w:val="both"/>
        <w:rPr>
          <w:rFonts w:ascii="Times New Roman" w:hAnsi="Times New Roman" w:cs="Times New Roman"/>
          <w:sz w:val="24"/>
          <w:szCs w:val="24"/>
        </w:rPr>
      </w:pPr>
      <w:r w:rsidRPr="0000355D">
        <w:rPr>
          <w:rFonts w:ascii="Times New Roman" w:hAnsi="Times New Roman" w:cs="Times New Roman"/>
          <w:sz w:val="24"/>
          <w:szCs w:val="24"/>
        </w:rPr>
        <w:t>Although the world is pushing for sustainability, this is not the case in Ghana, as there exists a deficit of research and research base on the correlation between ESSA and corporate governance. Previous studies on sustainability reporting in Ghana have been largely on the implications on financial performance rather than accountability that emanates from governance issues (Hossain et al., 2024). Additionally, the fact that sustainability reporting in Ghana is voluntary makes a firm select disclosure that leads to greenwashing and inconsistent reporting standards (Matakanye &amp; Poll, 2021). As such, there is a need for a systematic investigation of how corporate governance mechanisms impact ESSA practices adoption, quality and consistency within Ghanaian firms.</w:t>
      </w:r>
    </w:p>
    <w:p w14:paraId="714EEA17" w14:textId="77777777" w:rsidR="0000355D" w:rsidRDefault="0000355D" w:rsidP="0000355D">
      <w:pPr>
        <w:spacing w:line="480" w:lineRule="auto"/>
        <w:jc w:val="both"/>
        <w:rPr>
          <w:rFonts w:ascii="Times New Roman" w:hAnsi="Times New Roman" w:cs="Times New Roman"/>
          <w:sz w:val="24"/>
          <w:szCs w:val="24"/>
        </w:rPr>
      </w:pPr>
      <w:r w:rsidRPr="0000355D">
        <w:rPr>
          <w:rFonts w:ascii="Times New Roman" w:hAnsi="Times New Roman" w:cs="Times New Roman"/>
          <w:sz w:val="24"/>
          <w:szCs w:val="24"/>
        </w:rPr>
        <w:t>The study applies a mixed method approach that incorporates both quantitative and qualitative approaches to get a full understanding of governance structures and sustainability accounting in Ghana. The research will assist in policy reform and corporate governance improvement in Ghana based on the analysis of corporate disclosures, regulatory policies, and governance mechanisms. Beyond the specifics of this particular study, this study is particularly relevant as Ghana’s sustainability reporting landscape continues to evolve to, among other things, align with international sustainability reporting benchmarks, the International Sustainability Reporting Tool (GRI) and Sustainability Accounting Standards Board (SASB) framework requirements. The findings of this research will provide practical knowledge for policy makers, regulators and corporate establishments to build a strong sustainability governance framework and corporate accountability in Ghana.</w:t>
      </w:r>
    </w:p>
    <w:p w14:paraId="7BA7F660" w14:textId="77777777" w:rsidR="0000355D" w:rsidRPr="0000355D" w:rsidRDefault="0000355D" w:rsidP="0000355D">
      <w:pPr>
        <w:pStyle w:val="Heading2"/>
        <w:spacing w:before="240" w:after="240" w:line="480" w:lineRule="auto"/>
        <w:jc w:val="both"/>
        <w:rPr>
          <w:rFonts w:ascii="Times New Roman" w:hAnsi="Times New Roman" w:cs="Times New Roman"/>
          <w:b/>
          <w:bCs/>
          <w:color w:val="auto"/>
          <w:sz w:val="24"/>
          <w:szCs w:val="24"/>
        </w:rPr>
      </w:pPr>
      <w:bookmarkStart w:id="1" w:name="_Toc526436602"/>
      <w:r w:rsidRPr="0000355D">
        <w:rPr>
          <w:rFonts w:ascii="Times New Roman" w:hAnsi="Times New Roman" w:cs="Times New Roman"/>
          <w:b/>
          <w:bCs/>
          <w:color w:val="auto"/>
          <w:sz w:val="24"/>
          <w:szCs w:val="24"/>
        </w:rPr>
        <w:lastRenderedPageBreak/>
        <w:t>Statement of the Problem</w:t>
      </w:r>
      <w:bookmarkEnd w:id="1"/>
    </w:p>
    <w:p w14:paraId="145BE6A9" w14:textId="77777777" w:rsidR="0000355D" w:rsidRPr="0000355D" w:rsidRDefault="0000355D" w:rsidP="0000355D">
      <w:pPr>
        <w:spacing w:line="480" w:lineRule="auto"/>
        <w:jc w:val="both"/>
        <w:rPr>
          <w:rFonts w:ascii="Times New Roman" w:hAnsi="Times New Roman" w:cs="Times New Roman"/>
          <w:sz w:val="24"/>
          <w:szCs w:val="24"/>
        </w:rPr>
      </w:pPr>
      <w:r w:rsidRPr="0000355D">
        <w:rPr>
          <w:rFonts w:ascii="Times New Roman" w:hAnsi="Times New Roman" w:cs="Times New Roman"/>
          <w:sz w:val="24"/>
          <w:szCs w:val="24"/>
        </w:rPr>
        <w:t>Ghana has inconsistent adoption of environmental and social sustainability accounting (ESSA), yet there are significant variations of firms. The practice of ESSA in Ghana has not been well understood with the role played by corporate governance in influencing such practices. It is well known that board composition, ownership structure, opportunity and constraint, stakeholder influence, regulation will affect sustainability accounting but empirical evidence on their efficacy is limited. Moreover, lack of a common reporting intervals emphasizes on the inconsistency of disclosure practices in Ghana. The purpose of this study is to bridge these gaps by reviewing the effect of corporate governance factors on ESSA practices in Ghanaian companies and implications for the regulatory policy and corporate accountability.</w:t>
      </w:r>
    </w:p>
    <w:p w14:paraId="01A5284F" w14:textId="77777777" w:rsidR="000A2E72" w:rsidRPr="000A2E72" w:rsidRDefault="000A2E72" w:rsidP="000A2E72">
      <w:pPr>
        <w:pStyle w:val="Heading1"/>
        <w:rPr>
          <w:rFonts w:ascii="Times New Roman" w:hAnsi="Times New Roman" w:cs="Times New Roman"/>
          <w:b/>
          <w:bCs/>
          <w:color w:val="auto"/>
          <w:sz w:val="24"/>
          <w:szCs w:val="24"/>
          <w:lang w:val="en-US"/>
        </w:rPr>
      </w:pPr>
      <w:r w:rsidRPr="000A2E72">
        <w:rPr>
          <w:rFonts w:ascii="Times New Roman" w:hAnsi="Times New Roman" w:cs="Times New Roman"/>
          <w:b/>
          <w:bCs/>
          <w:color w:val="auto"/>
          <w:sz w:val="24"/>
          <w:szCs w:val="24"/>
          <w:lang w:val="en-US"/>
        </w:rPr>
        <w:t>Research Objectives</w:t>
      </w:r>
    </w:p>
    <w:p w14:paraId="3807FFD1" w14:textId="77777777" w:rsidR="000A2E72" w:rsidRPr="000A2E72" w:rsidRDefault="000A2E72" w:rsidP="000A2E72">
      <w:pPr>
        <w:spacing w:line="480" w:lineRule="auto"/>
        <w:jc w:val="both"/>
        <w:rPr>
          <w:rFonts w:ascii="Times New Roman" w:hAnsi="Times New Roman" w:cs="Times New Roman"/>
          <w:sz w:val="24"/>
          <w:szCs w:val="24"/>
          <w:lang w:val="en-US"/>
        </w:rPr>
      </w:pPr>
      <w:r w:rsidRPr="000A2E72">
        <w:rPr>
          <w:rFonts w:ascii="Times New Roman" w:hAnsi="Times New Roman" w:cs="Times New Roman"/>
          <w:sz w:val="24"/>
          <w:szCs w:val="24"/>
          <w:lang w:val="en-US"/>
        </w:rPr>
        <w:t>The main objective of this study is to examine the relationship between corporate governance structures and environmental and social sustainability accounting (ESSA) practices in Ghana.</w:t>
      </w:r>
    </w:p>
    <w:p w14:paraId="1D861230" w14:textId="77777777" w:rsidR="000A2E72" w:rsidRDefault="000A2E72" w:rsidP="000A2E72">
      <w:pPr>
        <w:spacing w:line="480" w:lineRule="auto"/>
        <w:rPr>
          <w:rFonts w:ascii="Times New Roman" w:hAnsi="Times New Roman" w:cs="Times New Roman"/>
          <w:b/>
          <w:bCs/>
          <w:sz w:val="24"/>
          <w:szCs w:val="24"/>
          <w:lang w:val="en-US"/>
        </w:rPr>
      </w:pPr>
      <w:r w:rsidRPr="000A2E72">
        <w:rPr>
          <w:rFonts w:ascii="Times New Roman" w:hAnsi="Times New Roman" w:cs="Times New Roman"/>
          <w:b/>
          <w:bCs/>
          <w:sz w:val="24"/>
          <w:szCs w:val="24"/>
          <w:lang w:val="en-US"/>
        </w:rPr>
        <w:t>Specific Objectives:</w:t>
      </w:r>
    </w:p>
    <w:p w14:paraId="4B6A34C5" w14:textId="44775337" w:rsidR="000A2E72" w:rsidRDefault="000A2E72" w:rsidP="000A2E72">
      <w:pPr>
        <w:pStyle w:val="ListParagraph"/>
        <w:numPr>
          <w:ilvl w:val="0"/>
          <w:numId w:val="2"/>
        </w:numPr>
        <w:spacing w:line="480" w:lineRule="auto"/>
        <w:rPr>
          <w:rFonts w:ascii="Times New Roman" w:hAnsi="Times New Roman" w:cs="Times New Roman"/>
          <w:sz w:val="24"/>
          <w:szCs w:val="24"/>
          <w:lang w:val="en-US"/>
        </w:rPr>
      </w:pPr>
      <w:r w:rsidRPr="000A2E72">
        <w:rPr>
          <w:rFonts w:ascii="Times New Roman" w:hAnsi="Times New Roman" w:cs="Times New Roman"/>
          <w:sz w:val="24"/>
          <w:szCs w:val="24"/>
          <w:lang w:val="en-US"/>
        </w:rPr>
        <w:t>To determine the level of implementation of sustainability accounting practices in Ghanaian firms.</w:t>
      </w:r>
    </w:p>
    <w:p w14:paraId="7FC8E769" w14:textId="77777777" w:rsidR="000A2E72" w:rsidRDefault="000A2E72" w:rsidP="000A2E72">
      <w:pPr>
        <w:pStyle w:val="ListParagraph"/>
        <w:numPr>
          <w:ilvl w:val="0"/>
          <w:numId w:val="2"/>
        </w:numPr>
        <w:spacing w:line="480" w:lineRule="auto"/>
        <w:rPr>
          <w:rFonts w:ascii="Times New Roman" w:hAnsi="Times New Roman" w:cs="Times New Roman"/>
          <w:sz w:val="24"/>
          <w:szCs w:val="24"/>
          <w:lang w:val="en-US"/>
        </w:rPr>
      </w:pPr>
      <w:r w:rsidRPr="000A2E72">
        <w:rPr>
          <w:rFonts w:ascii="Times New Roman" w:hAnsi="Times New Roman" w:cs="Times New Roman"/>
          <w:sz w:val="24"/>
          <w:szCs w:val="24"/>
          <w:lang w:val="en-US"/>
        </w:rPr>
        <w:t>To ascertain the corporate governance structures that influence the adoption and effectiveness of sustainability accounting practices.</w:t>
      </w:r>
    </w:p>
    <w:p w14:paraId="19653DBC" w14:textId="77777777" w:rsidR="000A2E72" w:rsidRDefault="000A2E72" w:rsidP="000A2E72">
      <w:pPr>
        <w:pStyle w:val="ListParagraph"/>
        <w:numPr>
          <w:ilvl w:val="0"/>
          <w:numId w:val="2"/>
        </w:numPr>
        <w:spacing w:line="480" w:lineRule="auto"/>
        <w:rPr>
          <w:rFonts w:ascii="Times New Roman" w:hAnsi="Times New Roman" w:cs="Times New Roman"/>
          <w:sz w:val="24"/>
          <w:szCs w:val="24"/>
          <w:lang w:val="en-US"/>
        </w:rPr>
      </w:pPr>
      <w:r w:rsidRPr="000A2E72">
        <w:rPr>
          <w:rFonts w:ascii="Times New Roman" w:hAnsi="Times New Roman" w:cs="Times New Roman"/>
          <w:sz w:val="24"/>
          <w:szCs w:val="24"/>
          <w:lang w:val="en-US"/>
        </w:rPr>
        <w:t>To evaluate the moderating role of regulatory compliance in the relationship between corporate governance and sustainability accounting practices.</w:t>
      </w:r>
    </w:p>
    <w:p w14:paraId="3C97531A" w14:textId="1A96F21F" w:rsidR="0000355D" w:rsidRPr="000A2E72" w:rsidRDefault="000A2E72" w:rsidP="000A2E72">
      <w:pPr>
        <w:pStyle w:val="ListParagraph"/>
        <w:numPr>
          <w:ilvl w:val="0"/>
          <w:numId w:val="2"/>
        </w:numPr>
        <w:spacing w:line="480" w:lineRule="auto"/>
        <w:rPr>
          <w:rFonts w:ascii="Times New Roman" w:hAnsi="Times New Roman" w:cs="Times New Roman"/>
          <w:sz w:val="24"/>
          <w:szCs w:val="24"/>
          <w:lang w:val="en-US"/>
        </w:rPr>
      </w:pPr>
      <w:r w:rsidRPr="000A2E72">
        <w:rPr>
          <w:rFonts w:ascii="Times New Roman" w:hAnsi="Times New Roman" w:cs="Times New Roman"/>
          <w:sz w:val="24"/>
          <w:szCs w:val="24"/>
          <w:lang w:val="en-US"/>
        </w:rPr>
        <w:t>To assess stakeholder influence on the extent of sustainability disclosures in Ghanaian firms.</w:t>
      </w:r>
    </w:p>
    <w:p w14:paraId="4D0B4841" w14:textId="77777777" w:rsidR="00C0280B" w:rsidRPr="00C0280B" w:rsidRDefault="00C0280B" w:rsidP="00C0280B">
      <w:pPr>
        <w:pStyle w:val="Heading2"/>
        <w:spacing w:before="240" w:after="240" w:line="480" w:lineRule="auto"/>
        <w:jc w:val="both"/>
        <w:rPr>
          <w:rFonts w:ascii="Times New Roman" w:hAnsi="Times New Roman" w:cs="Times New Roman"/>
          <w:b/>
          <w:bCs/>
          <w:color w:val="auto"/>
          <w:sz w:val="24"/>
          <w:szCs w:val="24"/>
        </w:rPr>
      </w:pPr>
      <w:bookmarkStart w:id="2" w:name="_Toc526436604"/>
      <w:r w:rsidRPr="00C0280B">
        <w:rPr>
          <w:rFonts w:ascii="Times New Roman" w:hAnsi="Times New Roman" w:cs="Times New Roman"/>
          <w:b/>
          <w:bCs/>
          <w:color w:val="auto"/>
          <w:sz w:val="24"/>
          <w:szCs w:val="24"/>
        </w:rPr>
        <w:lastRenderedPageBreak/>
        <w:t>Research Questions</w:t>
      </w:r>
      <w:bookmarkEnd w:id="2"/>
    </w:p>
    <w:p w14:paraId="68A20AA2" w14:textId="6221CC91" w:rsidR="005C2D08" w:rsidRPr="005C2D08" w:rsidRDefault="00C0280B" w:rsidP="005C2D08">
      <w:pPr>
        <w:pStyle w:val="ListParagraph"/>
        <w:numPr>
          <w:ilvl w:val="0"/>
          <w:numId w:val="1"/>
        </w:numPr>
        <w:spacing w:line="480" w:lineRule="auto"/>
        <w:jc w:val="both"/>
        <w:rPr>
          <w:rFonts w:ascii="Times New Roman" w:hAnsi="Times New Roman" w:cs="Times New Roman"/>
        </w:rPr>
      </w:pPr>
      <w:r w:rsidRPr="00C0280B">
        <w:rPr>
          <w:rFonts w:ascii="Times New Roman" w:hAnsi="Times New Roman" w:cs="Times New Roman"/>
          <w:sz w:val="24"/>
          <w:szCs w:val="24"/>
        </w:rPr>
        <w:t>How do corporate governance mechanisms influence environmental and social sustainability accounting practices among firms in Ghana?</w:t>
      </w:r>
    </w:p>
    <w:p w14:paraId="7944F523" w14:textId="77777777" w:rsidR="005C2D08" w:rsidRPr="005C2D08" w:rsidRDefault="005C2D08" w:rsidP="005C2D08">
      <w:pPr>
        <w:pStyle w:val="Heading1"/>
        <w:rPr>
          <w:rFonts w:ascii="Times New Roman" w:hAnsi="Times New Roman" w:cs="Times New Roman"/>
          <w:b/>
          <w:bCs/>
          <w:color w:val="auto"/>
          <w:sz w:val="24"/>
          <w:szCs w:val="24"/>
        </w:rPr>
      </w:pPr>
      <w:r w:rsidRPr="005C2D08">
        <w:rPr>
          <w:rFonts w:ascii="Times New Roman" w:hAnsi="Times New Roman" w:cs="Times New Roman"/>
          <w:b/>
          <w:bCs/>
          <w:color w:val="auto"/>
          <w:sz w:val="24"/>
          <w:szCs w:val="24"/>
        </w:rPr>
        <w:t>Relevance of the Study</w:t>
      </w:r>
    </w:p>
    <w:p w14:paraId="11FE410E" w14:textId="344F4BC6" w:rsidR="005C2D08" w:rsidRPr="005C2D08" w:rsidRDefault="005C2D08" w:rsidP="005C2D08">
      <w:pPr>
        <w:spacing w:line="480" w:lineRule="auto"/>
        <w:jc w:val="both"/>
        <w:rPr>
          <w:rFonts w:ascii="Times New Roman" w:hAnsi="Times New Roman" w:cs="Times New Roman"/>
          <w:sz w:val="24"/>
          <w:szCs w:val="24"/>
        </w:rPr>
      </w:pPr>
      <w:r w:rsidRPr="005C2D08">
        <w:rPr>
          <w:rFonts w:ascii="Times New Roman" w:hAnsi="Times New Roman" w:cs="Times New Roman"/>
          <w:sz w:val="24"/>
          <w:szCs w:val="24"/>
        </w:rPr>
        <w:t>The importance of this study is in the fact that it offers empirical knowledge on the impact of the corporate governance on sustainability accounting in Ghana. Given this, the findings will help inform policymakers in building better regulatory frameworks as well as improve the transparency in firms’ sustainability reporting It also contributes to academic literature through a contextualization of sustainability accounting away from the Ghanaian governance landscape.</w:t>
      </w:r>
    </w:p>
    <w:p w14:paraId="62126417" w14:textId="77777777" w:rsidR="005C2D08" w:rsidRPr="005C2D08" w:rsidRDefault="005C2D08" w:rsidP="005C2D08">
      <w:pPr>
        <w:pStyle w:val="Heading1"/>
        <w:rPr>
          <w:rFonts w:ascii="Times New Roman" w:hAnsi="Times New Roman" w:cs="Times New Roman"/>
          <w:b/>
          <w:bCs/>
          <w:color w:val="auto"/>
          <w:sz w:val="24"/>
          <w:szCs w:val="24"/>
        </w:rPr>
      </w:pPr>
      <w:r w:rsidRPr="005C2D08">
        <w:rPr>
          <w:rFonts w:ascii="Times New Roman" w:hAnsi="Times New Roman" w:cs="Times New Roman"/>
          <w:b/>
          <w:bCs/>
          <w:color w:val="auto"/>
          <w:sz w:val="24"/>
          <w:szCs w:val="24"/>
        </w:rPr>
        <w:t>Scope of the Study</w:t>
      </w:r>
    </w:p>
    <w:p w14:paraId="3C77E83C" w14:textId="7696B46C" w:rsidR="005C2D08" w:rsidRPr="005C2D08" w:rsidRDefault="005C2D08" w:rsidP="005C2D08">
      <w:pPr>
        <w:spacing w:line="480" w:lineRule="auto"/>
        <w:jc w:val="both"/>
        <w:rPr>
          <w:rFonts w:ascii="Times New Roman" w:hAnsi="Times New Roman" w:cs="Times New Roman"/>
          <w:sz w:val="24"/>
          <w:szCs w:val="24"/>
        </w:rPr>
      </w:pPr>
      <w:r w:rsidRPr="005C2D08">
        <w:rPr>
          <w:rFonts w:ascii="Times New Roman" w:hAnsi="Times New Roman" w:cs="Times New Roman"/>
          <w:sz w:val="24"/>
          <w:szCs w:val="24"/>
        </w:rPr>
        <w:t>This study looks into the corporate governance factors which influence ESSA practices in Ghanaian firms, such as board composition, ownership structure, stakeholder influence and regulatory compliance. I will research publicly listed and large private firms across all key industries with a mixed method approach to collect primary data from executives, financial officers and governance regulators.</w:t>
      </w:r>
    </w:p>
    <w:p w14:paraId="2ECB79DF" w14:textId="77777777" w:rsidR="00C0280B" w:rsidRPr="00C0280B" w:rsidRDefault="00C0280B" w:rsidP="00C0280B">
      <w:pPr>
        <w:pStyle w:val="Heading2"/>
        <w:spacing w:before="240" w:after="240" w:line="480" w:lineRule="auto"/>
        <w:jc w:val="both"/>
        <w:rPr>
          <w:rFonts w:ascii="Times New Roman" w:hAnsi="Times New Roman" w:cs="Times New Roman"/>
          <w:b/>
          <w:bCs/>
          <w:color w:val="auto"/>
          <w:sz w:val="24"/>
          <w:szCs w:val="24"/>
        </w:rPr>
      </w:pPr>
      <w:bookmarkStart w:id="3" w:name="_Toc501854580"/>
      <w:r w:rsidRPr="00C0280B">
        <w:rPr>
          <w:rFonts w:ascii="Times New Roman" w:hAnsi="Times New Roman" w:cs="Times New Roman"/>
          <w:b/>
          <w:bCs/>
          <w:color w:val="auto"/>
          <w:sz w:val="24"/>
          <w:szCs w:val="24"/>
        </w:rPr>
        <w:t>Brief Methodology</w:t>
      </w:r>
      <w:bookmarkEnd w:id="3"/>
    </w:p>
    <w:p w14:paraId="3E58FC83" w14:textId="77777777" w:rsidR="007615BE" w:rsidRPr="007615BE" w:rsidRDefault="007615BE" w:rsidP="007615BE">
      <w:pPr>
        <w:spacing w:line="480" w:lineRule="auto"/>
        <w:jc w:val="both"/>
        <w:rPr>
          <w:rFonts w:ascii="Times New Roman" w:hAnsi="Times New Roman" w:cs="Times New Roman"/>
          <w:sz w:val="24"/>
          <w:szCs w:val="24"/>
        </w:rPr>
      </w:pPr>
      <w:r w:rsidRPr="007615BE">
        <w:rPr>
          <w:rFonts w:ascii="Times New Roman" w:hAnsi="Times New Roman" w:cs="Times New Roman"/>
          <w:sz w:val="24"/>
          <w:szCs w:val="24"/>
        </w:rPr>
        <w:t>The research methodology is intended to critically evaluate the effect of corporate governance on environmental social sustainability accounting (ESSA) in the Ghanaian firms. In view of the complexity of sustainability accounting practices and governance structure, a mixed methods approach is taken to achieve quantitative generalizability as well as qualitative depth (Amadi, 2021).</w:t>
      </w:r>
    </w:p>
    <w:p w14:paraId="2E634E22" w14:textId="5246C5B9" w:rsidR="007615BE" w:rsidRPr="007615BE" w:rsidRDefault="007615BE" w:rsidP="007615BE">
      <w:pPr>
        <w:spacing w:line="480" w:lineRule="auto"/>
        <w:jc w:val="both"/>
        <w:rPr>
          <w:rFonts w:ascii="Times New Roman" w:hAnsi="Times New Roman" w:cs="Times New Roman"/>
          <w:sz w:val="24"/>
          <w:szCs w:val="24"/>
        </w:rPr>
      </w:pPr>
      <w:r w:rsidRPr="007615BE">
        <w:rPr>
          <w:rFonts w:ascii="Times New Roman" w:hAnsi="Times New Roman" w:cs="Times New Roman"/>
          <w:sz w:val="24"/>
          <w:szCs w:val="24"/>
        </w:rPr>
        <w:lastRenderedPageBreak/>
        <w:t xml:space="preserve">This study applies to the explanatory sequential mixed method design using both quantitative and qualitative methods to establish statistical relationships, and to explain the underlying governance dynamics. This approach is justified by the fact that notwithstanding the presence of quantitative data, motivations and challenges </w:t>
      </w:r>
      <w:r w:rsidRPr="007615BE">
        <w:rPr>
          <w:rFonts w:ascii="Times New Roman" w:hAnsi="Times New Roman" w:cs="Times New Roman"/>
          <w:sz w:val="24"/>
          <w:szCs w:val="24"/>
        </w:rPr>
        <w:t>fuelling</w:t>
      </w:r>
      <w:r w:rsidRPr="007615BE">
        <w:rPr>
          <w:rFonts w:ascii="Times New Roman" w:hAnsi="Times New Roman" w:cs="Times New Roman"/>
          <w:sz w:val="24"/>
          <w:szCs w:val="24"/>
        </w:rPr>
        <w:t xml:space="preserve"> the implementation of sustainability accounting practices would not be fully covered by them (Johansson &amp; Winge, 2023). An approach of cross-sectional research of corporate governance mechanisms and sustainability disclosures at a particular time, reflecting the current trend and the challenges hindering the firms in Ghana.</w:t>
      </w:r>
    </w:p>
    <w:p w14:paraId="67F8FD88" w14:textId="26134ADE" w:rsidR="007615BE" w:rsidRPr="007615BE" w:rsidRDefault="007615BE" w:rsidP="007615BE">
      <w:pPr>
        <w:spacing w:line="480" w:lineRule="auto"/>
        <w:jc w:val="both"/>
        <w:rPr>
          <w:rFonts w:ascii="Times New Roman" w:hAnsi="Times New Roman" w:cs="Times New Roman"/>
          <w:sz w:val="24"/>
          <w:szCs w:val="24"/>
        </w:rPr>
      </w:pPr>
      <w:r w:rsidRPr="007615BE">
        <w:rPr>
          <w:rFonts w:ascii="Times New Roman" w:hAnsi="Times New Roman" w:cs="Times New Roman"/>
          <w:sz w:val="24"/>
          <w:szCs w:val="24"/>
        </w:rPr>
        <w:t>Survey questionnaires and semi structured interviews are integrated and used to collect primary data. The survey part of the study contains structured questionnaires about governance aspects, such as the level of board independence and ownership structure, as well as sustainability accounting practice, such as the level of disclosure and regulatory compliance. I discuss, based on interviews, decision making dynamics, regulatory challenges and motivations for sustainability reporting in Ghana.</w:t>
      </w:r>
      <w:r w:rsidRPr="007615BE">
        <w:rPr>
          <w:rFonts w:ascii="Times New Roman" w:hAnsi="Times New Roman" w:cs="Times New Roman"/>
          <w:sz w:val="24"/>
          <w:szCs w:val="24"/>
        </w:rPr>
        <w:t xml:space="preserve"> </w:t>
      </w:r>
      <w:r w:rsidRPr="007615BE">
        <w:rPr>
          <w:rFonts w:ascii="Times New Roman" w:hAnsi="Times New Roman" w:cs="Times New Roman"/>
          <w:sz w:val="24"/>
          <w:szCs w:val="24"/>
        </w:rPr>
        <w:t>This dual method approach provides triangulation whereby the findings are cross verified by quantitative patterns with qualitative explanations (Amadi, 2021).</w:t>
      </w:r>
    </w:p>
    <w:p w14:paraId="28A10D67" w14:textId="77777777" w:rsidR="007615BE" w:rsidRPr="007615BE" w:rsidRDefault="007615BE" w:rsidP="007615BE">
      <w:pPr>
        <w:spacing w:line="480" w:lineRule="auto"/>
        <w:jc w:val="both"/>
        <w:rPr>
          <w:rFonts w:ascii="Times New Roman" w:hAnsi="Times New Roman" w:cs="Times New Roman"/>
          <w:sz w:val="24"/>
          <w:szCs w:val="24"/>
        </w:rPr>
      </w:pPr>
      <w:r w:rsidRPr="007615BE">
        <w:rPr>
          <w:rFonts w:ascii="Times New Roman" w:hAnsi="Times New Roman" w:cs="Times New Roman"/>
          <w:sz w:val="24"/>
          <w:szCs w:val="24"/>
        </w:rPr>
        <w:t>The quantitative analysis includes descriptive statistics of governance attributes and sustainability accounting practice. To test hypotheses on governance sustainability relationship, multiple regression analysis is used to control for industry effects. Further, there is moderation analysis to determine the influence of regulatory enforcement on governance constrained sustainability accounting.</w:t>
      </w:r>
    </w:p>
    <w:p w14:paraId="37C0FBE4" w14:textId="2F914A3C" w:rsidR="007615BE" w:rsidRPr="009F538D" w:rsidRDefault="007615BE" w:rsidP="009F538D">
      <w:pPr>
        <w:spacing w:line="480" w:lineRule="auto"/>
        <w:jc w:val="both"/>
        <w:rPr>
          <w:rFonts w:ascii="Times New Roman" w:hAnsi="Times New Roman" w:cs="Times New Roman"/>
          <w:sz w:val="24"/>
          <w:szCs w:val="24"/>
        </w:rPr>
      </w:pPr>
      <w:r w:rsidRPr="007615BE">
        <w:rPr>
          <w:rFonts w:ascii="Times New Roman" w:hAnsi="Times New Roman" w:cs="Times New Roman"/>
          <w:sz w:val="24"/>
          <w:szCs w:val="24"/>
        </w:rPr>
        <w:t xml:space="preserve">The governance motivations, the disclosure barriers and the regulatory influences are identified using a thematic analysis in order to follow qualitative analysis. Alam (2021) codes and analyzes transcripts systematically using NVivo software. The study integrates these analytical techniques </w:t>
      </w:r>
      <w:r w:rsidRPr="007615BE">
        <w:rPr>
          <w:rFonts w:ascii="Times New Roman" w:hAnsi="Times New Roman" w:cs="Times New Roman"/>
          <w:sz w:val="24"/>
          <w:szCs w:val="24"/>
        </w:rPr>
        <w:lastRenderedPageBreak/>
        <w:t>away from the surface level correlations to push further to understand the mechanisms of how sustainability accounting is occurring in Ghana.</w:t>
      </w:r>
    </w:p>
    <w:p w14:paraId="018C33E6" w14:textId="6AB181F2" w:rsidR="007615BE" w:rsidRPr="009F538D" w:rsidRDefault="007615BE" w:rsidP="009F538D">
      <w:pPr>
        <w:pStyle w:val="Heading2"/>
        <w:spacing w:line="480" w:lineRule="auto"/>
        <w:rPr>
          <w:rFonts w:ascii="Times New Roman" w:hAnsi="Times New Roman" w:cs="Times New Roman"/>
          <w:b/>
          <w:bCs/>
          <w:color w:val="auto"/>
          <w:sz w:val="24"/>
          <w:szCs w:val="24"/>
        </w:rPr>
      </w:pPr>
      <w:r w:rsidRPr="009F538D">
        <w:rPr>
          <w:rFonts w:ascii="Times New Roman" w:hAnsi="Times New Roman" w:cs="Times New Roman"/>
          <w:b/>
          <w:bCs/>
          <w:color w:val="auto"/>
          <w:sz w:val="24"/>
          <w:szCs w:val="24"/>
        </w:rPr>
        <w:t>Expected Findings</w:t>
      </w:r>
    </w:p>
    <w:p w14:paraId="11DBF52A" w14:textId="0273D33B" w:rsidR="007615BE" w:rsidRPr="009F538D" w:rsidRDefault="007615BE" w:rsidP="00C0280B">
      <w:pPr>
        <w:spacing w:line="480" w:lineRule="auto"/>
        <w:jc w:val="both"/>
        <w:rPr>
          <w:rFonts w:ascii="Times New Roman" w:hAnsi="Times New Roman" w:cs="Times New Roman"/>
          <w:sz w:val="24"/>
          <w:szCs w:val="24"/>
        </w:rPr>
      </w:pPr>
      <w:r w:rsidRPr="009F538D">
        <w:rPr>
          <w:rFonts w:ascii="Times New Roman" w:hAnsi="Times New Roman" w:cs="Times New Roman"/>
          <w:sz w:val="24"/>
          <w:szCs w:val="24"/>
        </w:rPr>
        <w:t>This study is expected to demonstrate a strong relationship between corporate governance structures and environmental and social sustainability accounting (ESSA) practices in Ghana. For example, specifically, it is assumed that stronger governance mechanisms, including independent boards and greater institutional ownership, will be linked to higher sustainability disclosure. However, this relationship will be influenced by regulatory enforcement especially because Ghana’s compliance landscape is evolving (Appiah Konadu, 2022). Furthermore, the qualitative findings might point out the governance barriers hindering sustainability reporting in terms of lack of expertise or conflicting interests of the stakeholders.</w:t>
      </w:r>
    </w:p>
    <w:p w14:paraId="19820D07" w14:textId="77777777" w:rsidR="00C0280B" w:rsidRPr="00C0280B" w:rsidRDefault="00C0280B" w:rsidP="00C0280B">
      <w:pPr>
        <w:pStyle w:val="Heading2"/>
        <w:spacing w:before="240" w:after="240" w:line="480" w:lineRule="auto"/>
        <w:jc w:val="both"/>
        <w:rPr>
          <w:rFonts w:ascii="Times New Roman" w:hAnsi="Times New Roman" w:cs="Times New Roman"/>
          <w:b/>
          <w:bCs/>
          <w:color w:val="auto"/>
          <w:sz w:val="24"/>
          <w:szCs w:val="24"/>
        </w:rPr>
      </w:pPr>
      <w:bookmarkStart w:id="4" w:name="_Toc526436607"/>
      <w:r w:rsidRPr="00C0280B">
        <w:rPr>
          <w:rFonts w:ascii="Times New Roman" w:hAnsi="Times New Roman" w:cs="Times New Roman"/>
          <w:b/>
          <w:bCs/>
          <w:color w:val="auto"/>
          <w:sz w:val="24"/>
          <w:szCs w:val="24"/>
        </w:rPr>
        <w:t>Organization of the Study</w:t>
      </w:r>
      <w:bookmarkEnd w:id="4"/>
    </w:p>
    <w:p w14:paraId="2D3A94F8" w14:textId="77777777" w:rsidR="00C0280B" w:rsidRPr="002B3739" w:rsidRDefault="00C0280B" w:rsidP="00C0280B">
      <w:pPr>
        <w:spacing w:before="240" w:after="240" w:line="480" w:lineRule="auto"/>
        <w:jc w:val="both"/>
        <w:rPr>
          <w:rFonts w:ascii="Times New Roman" w:hAnsi="Times New Roman" w:cs="Times New Roman"/>
          <w:sz w:val="24"/>
          <w:szCs w:val="24"/>
        </w:rPr>
      </w:pPr>
      <w:r w:rsidRPr="002B3739">
        <w:rPr>
          <w:rFonts w:ascii="Times New Roman" w:hAnsi="Times New Roman" w:cs="Times New Roman"/>
          <w:sz w:val="24"/>
          <w:szCs w:val="24"/>
        </w:rPr>
        <w:t>The research was organized into five main chapters. Chapter one will be on introduction which will include the background of the study, statement of problem, objectives of the study, research questions, significance of the study, and scope of the study.</w:t>
      </w:r>
    </w:p>
    <w:p w14:paraId="3B71B640" w14:textId="0EFA594A" w:rsidR="00C0280B" w:rsidRPr="002B3739" w:rsidRDefault="00C0280B" w:rsidP="00C0280B">
      <w:pPr>
        <w:spacing w:before="240" w:after="240" w:line="480" w:lineRule="auto"/>
        <w:jc w:val="both"/>
        <w:rPr>
          <w:rFonts w:ascii="Times New Roman" w:hAnsi="Times New Roman" w:cs="Times New Roman"/>
          <w:sz w:val="24"/>
          <w:szCs w:val="24"/>
        </w:rPr>
      </w:pPr>
      <w:r w:rsidRPr="002B3739">
        <w:rPr>
          <w:rFonts w:ascii="Times New Roman" w:hAnsi="Times New Roman" w:cs="Times New Roman"/>
          <w:sz w:val="24"/>
          <w:szCs w:val="24"/>
        </w:rPr>
        <w:t xml:space="preserve">Chapter two will </w:t>
      </w:r>
      <w:r w:rsidRPr="002B3739">
        <w:rPr>
          <w:rFonts w:ascii="Times New Roman" w:hAnsi="Times New Roman" w:cs="Times New Roman"/>
          <w:sz w:val="24"/>
          <w:szCs w:val="24"/>
        </w:rPr>
        <w:t>look</w:t>
      </w:r>
      <w:r w:rsidRPr="002B3739">
        <w:rPr>
          <w:rFonts w:ascii="Times New Roman" w:hAnsi="Times New Roman" w:cs="Times New Roman"/>
          <w:sz w:val="24"/>
          <w:szCs w:val="24"/>
        </w:rPr>
        <w:t xml:space="preserve"> at the literature review of the study. It </w:t>
      </w:r>
      <w:r w:rsidRPr="002B3739">
        <w:rPr>
          <w:rFonts w:ascii="Times New Roman" w:hAnsi="Times New Roman" w:cs="Times New Roman"/>
          <w:sz w:val="24"/>
          <w:szCs w:val="24"/>
        </w:rPr>
        <w:t>deals</w:t>
      </w:r>
      <w:r w:rsidRPr="002B3739">
        <w:rPr>
          <w:rFonts w:ascii="Times New Roman" w:hAnsi="Times New Roman" w:cs="Times New Roman"/>
          <w:sz w:val="24"/>
          <w:szCs w:val="24"/>
        </w:rPr>
        <w:t xml:space="preserve"> will with core issues that are connected with financial literacy among individuals in Ghana and it will review proceedings works that have been tackled by previous researchers analytically and empirically.</w:t>
      </w:r>
    </w:p>
    <w:p w14:paraId="14698C05" w14:textId="77777777" w:rsidR="00C0280B" w:rsidRPr="002B3739" w:rsidRDefault="00C0280B" w:rsidP="00C0280B">
      <w:pPr>
        <w:spacing w:before="240" w:after="240" w:line="480" w:lineRule="auto"/>
        <w:jc w:val="both"/>
        <w:rPr>
          <w:rFonts w:ascii="Times New Roman" w:hAnsi="Times New Roman" w:cs="Times New Roman"/>
          <w:sz w:val="24"/>
          <w:szCs w:val="24"/>
        </w:rPr>
      </w:pPr>
      <w:r w:rsidRPr="002B3739">
        <w:rPr>
          <w:rFonts w:ascii="Times New Roman" w:hAnsi="Times New Roman" w:cs="Times New Roman"/>
          <w:sz w:val="24"/>
          <w:szCs w:val="24"/>
        </w:rPr>
        <w:t xml:space="preserve">Chapter three will focus on the methods that will be used in the study to accomplish the stated objectives of the researcher. It will basically cover the research design, population of study, sample </w:t>
      </w:r>
      <w:r w:rsidRPr="002B3739">
        <w:rPr>
          <w:rFonts w:ascii="Times New Roman" w:hAnsi="Times New Roman" w:cs="Times New Roman"/>
          <w:sz w:val="24"/>
          <w:szCs w:val="24"/>
        </w:rPr>
        <w:lastRenderedPageBreak/>
        <w:t xml:space="preserve">size and sample of techniques, research procedures, data collection instruments and data analysis methods.   </w:t>
      </w:r>
    </w:p>
    <w:p w14:paraId="302D5C55" w14:textId="77777777" w:rsidR="00C0280B" w:rsidRDefault="00C0280B" w:rsidP="00C0280B">
      <w:pPr>
        <w:spacing w:before="240" w:after="240" w:line="480" w:lineRule="auto"/>
        <w:jc w:val="both"/>
        <w:rPr>
          <w:rFonts w:ascii="Times New Roman" w:hAnsi="Times New Roman" w:cs="Times New Roman"/>
          <w:sz w:val="24"/>
          <w:szCs w:val="24"/>
        </w:rPr>
      </w:pPr>
      <w:r w:rsidRPr="002B3739">
        <w:rPr>
          <w:rFonts w:ascii="Times New Roman" w:hAnsi="Times New Roman" w:cs="Times New Roman"/>
          <w:sz w:val="24"/>
          <w:szCs w:val="24"/>
        </w:rPr>
        <w:t>Chapter four will deal with data presentation and analysis of data collected from primary source. Chapter five will be the final chapter that will concentrate on the key summary of findings, conclusion and recommendations for future research.</w:t>
      </w:r>
    </w:p>
    <w:p w14:paraId="3EE05914" w14:textId="77777777" w:rsidR="000A2E72" w:rsidRDefault="000A2E72" w:rsidP="00C0280B">
      <w:pPr>
        <w:spacing w:before="240" w:after="240" w:line="480" w:lineRule="auto"/>
        <w:jc w:val="both"/>
        <w:rPr>
          <w:rFonts w:ascii="Times New Roman" w:hAnsi="Times New Roman" w:cs="Times New Roman"/>
          <w:sz w:val="24"/>
          <w:szCs w:val="24"/>
        </w:rPr>
      </w:pPr>
    </w:p>
    <w:p w14:paraId="2E629052" w14:textId="77777777" w:rsidR="000A2E72" w:rsidRDefault="000A2E72" w:rsidP="00C0280B">
      <w:pPr>
        <w:spacing w:before="240" w:after="240" w:line="480" w:lineRule="auto"/>
        <w:jc w:val="both"/>
        <w:rPr>
          <w:rFonts w:ascii="Times New Roman" w:hAnsi="Times New Roman" w:cs="Times New Roman"/>
          <w:sz w:val="24"/>
          <w:szCs w:val="24"/>
        </w:rPr>
      </w:pPr>
    </w:p>
    <w:p w14:paraId="00713475" w14:textId="77777777" w:rsidR="000A2E72" w:rsidRPr="000A2E72" w:rsidRDefault="000A2E72" w:rsidP="000A2E72">
      <w:pPr>
        <w:pStyle w:val="Heading2"/>
        <w:spacing w:before="240" w:after="240" w:line="480" w:lineRule="auto"/>
        <w:jc w:val="both"/>
        <w:rPr>
          <w:rFonts w:ascii="Times New Roman" w:hAnsi="Times New Roman" w:cs="Times New Roman"/>
          <w:b/>
          <w:bCs/>
          <w:color w:val="auto"/>
          <w:sz w:val="24"/>
          <w:szCs w:val="24"/>
        </w:rPr>
      </w:pPr>
      <w:bookmarkStart w:id="5" w:name="_Toc501854585"/>
      <w:r w:rsidRPr="000A2E72">
        <w:rPr>
          <w:rFonts w:ascii="Times New Roman" w:hAnsi="Times New Roman" w:cs="Times New Roman"/>
          <w:b/>
          <w:bCs/>
          <w:color w:val="auto"/>
          <w:sz w:val="24"/>
          <w:szCs w:val="24"/>
        </w:rPr>
        <w:t>Budget for the Research</w:t>
      </w:r>
      <w:bookmarkEnd w:id="5"/>
    </w:p>
    <w:p w14:paraId="11F62FDE" w14:textId="77777777" w:rsidR="000A2E72" w:rsidRPr="002B3739" w:rsidRDefault="000A2E72" w:rsidP="000A2E72">
      <w:pPr>
        <w:spacing w:before="240" w:after="240" w:line="480" w:lineRule="auto"/>
        <w:jc w:val="both"/>
        <w:rPr>
          <w:rFonts w:ascii="Times New Roman" w:hAnsi="Times New Roman" w:cs="Times New Roman"/>
          <w:bCs/>
          <w:sz w:val="24"/>
          <w:szCs w:val="24"/>
        </w:rPr>
      </w:pPr>
      <w:r w:rsidRPr="002B3739">
        <w:rPr>
          <w:rFonts w:ascii="Times New Roman" w:hAnsi="Times New Roman" w:cs="Times New Roman"/>
          <w:bCs/>
          <w:sz w:val="24"/>
          <w:szCs w:val="24"/>
        </w:rPr>
        <w:t>The estimated budget for the research is expected to be Four Thousand, Seven Hundred and Four Ghana Cedis (GH¢ 4,704) as shown in Table 1.</w:t>
      </w:r>
    </w:p>
    <w:tbl>
      <w:tblPr>
        <w:tblStyle w:val="TableGrid"/>
        <w:tblW w:w="0" w:type="auto"/>
        <w:tblLook w:val="04A0" w:firstRow="1" w:lastRow="0" w:firstColumn="1" w:lastColumn="0" w:noHBand="0" w:noVBand="1"/>
      </w:tblPr>
      <w:tblGrid>
        <w:gridCol w:w="570"/>
        <w:gridCol w:w="4641"/>
        <w:gridCol w:w="851"/>
        <w:gridCol w:w="1984"/>
        <w:gridCol w:w="993"/>
      </w:tblGrid>
      <w:tr w:rsidR="000A2E72" w:rsidRPr="002B3739" w14:paraId="3B44B445" w14:textId="77777777" w:rsidTr="00A7008B">
        <w:tc>
          <w:tcPr>
            <w:tcW w:w="9039" w:type="dxa"/>
            <w:gridSpan w:val="5"/>
          </w:tcPr>
          <w:p w14:paraId="2C971671"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r w:rsidRPr="002B3739">
              <w:rPr>
                <w:rFonts w:ascii="Times New Roman" w:hAnsi="Times New Roman" w:cs="Times New Roman"/>
                <w:b/>
                <w:bCs/>
                <w:sz w:val="24"/>
                <w:szCs w:val="24"/>
              </w:rPr>
              <w:t>Table 1: Expected budget for the research</w:t>
            </w:r>
          </w:p>
        </w:tc>
      </w:tr>
      <w:tr w:rsidR="000A2E72" w:rsidRPr="002B3739" w14:paraId="4CE92C56" w14:textId="77777777" w:rsidTr="00A7008B">
        <w:tc>
          <w:tcPr>
            <w:tcW w:w="570" w:type="dxa"/>
          </w:tcPr>
          <w:p w14:paraId="55C49AA3"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r w:rsidRPr="002B3739">
              <w:rPr>
                <w:rFonts w:ascii="Times New Roman" w:eastAsia="Batang" w:hAnsi="Times New Roman" w:cs="Times New Roman"/>
                <w:b/>
                <w:sz w:val="24"/>
                <w:szCs w:val="24"/>
              </w:rPr>
              <w:t>No.</w:t>
            </w:r>
          </w:p>
        </w:tc>
        <w:tc>
          <w:tcPr>
            <w:tcW w:w="4641" w:type="dxa"/>
          </w:tcPr>
          <w:p w14:paraId="726D4005"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r w:rsidRPr="002B3739">
              <w:rPr>
                <w:rFonts w:ascii="Times New Roman" w:eastAsia="Batang" w:hAnsi="Times New Roman" w:cs="Times New Roman"/>
                <w:b/>
                <w:sz w:val="24"/>
                <w:szCs w:val="24"/>
              </w:rPr>
              <w:t>Budget items</w:t>
            </w:r>
          </w:p>
        </w:tc>
        <w:tc>
          <w:tcPr>
            <w:tcW w:w="851" w:type="dxa"/>
          </w:tcPr>
          <w:p w14:paraId="643DF3BB"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r w:rsidRPr="002B3739">
              <w:rPr>
                <w:rFonts w:ascii="Times New Roman" w:eastAsia="Batang" w:hAnsi="Times New Roman" w:cs="Times New Roman"/>
                <w:b/>
                <w:sz w:val="24"/>
                <w:szCs w:val="24"/>
              </w:rPr>
              <w:t>Unit Cost</w:t>
            </w:r>
          </w:p>
        </w:tc>
        <w:tc>
          <w:tcPr>
            <w:tcW w:w="1984" w:type="dxa"/>
          </w:tcPr>
          <w:p w14:paraId="37BC26C6"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r w:rsidRPr="002B3739">
              <w:rPr>
                <w:rFonts w:ascii="Times New Roman" w:eastAsia="Batang" w:hAnsi="Times New Roman" w:cs="Times New Roman"/>
                <w:b/>
                <w:sz w:val="24"/>
                <w:szCs w:val="24"/>
              </w:rPr>
              <w:t>Multiplying Factors</w:t>
            </w:r>
          </w:p>
        </w:tc>
        <w:tc>
          <w:tcPr>
            <w:tcW w:w="993" w:type="dxa"/>
          </w:tcPr>
          <w:p w14:paraId="48284B9A"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r w:rsidRPr="002B3739">
              <w:rPr>
                <w:rFonts w:ascii="Times New Roman" w:eastAsia="Batang" w:hAnsi="Times New Roman" w:cs="Times New Roman"/>
                <w:b/>
                <w:sz w:val="24"/>
                <w:szCs w:val="24"/>
              </w:rPr>
              <w:t>Total Cost</w:t>
            </w:r>
          </w:p>
        </w:tc>
      </w:tr>
      <w:tr w:rsidR="000A2E72" w:rsidRPr="002B3739" w14:paraId="30EC36F3" w14:textId="77777777" w:rsidTr="00A7008B">
        <w:tc>
          <w:tcPr>
            <w:tcW w:w="570" w:type="dxa"/>
          </w:tcPr>
          <w:p w14:paraId="2856AD78"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p>
        </w:tc>
        <w:tc>
          <w:tcPr>
            <w:tcW w:w="4641" w:type="dxa"/>
          </w:tcPr>
          <w:p w14:paraId="2049A059"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p>
        </w:tc>
        <w:tc>
          <w:tcPr>
            <w:tcW w:w="851" w:type="dxa"/>
          </w:tcPr>
          <w:p w14:paraId="4399424F"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r w:rsidRPr="002B3739">
              <w:rPr>
                <w:rFonts w:ascii="Times New Roman" w:eastAsia="Batang" w:hAnsi="Times New Roman" w:cs="Times New Roman"/>
                <w:sz w:val="24"/>
                <w:szCs w:val="24"/>
              </w:rPr>
              <w:t>GHȻ</w:t>
            </w:r>
          </w:p>
        </w:tc>
        <w:tc>
          <w:tcPr>
            <w:tcW w:w="1984" w:type="dxa"/>
          </w:tcPr>
          <w:p w14:paraId="6991B194"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p>
        </w:tc>
        <w:tc>
          <w:tcPr>
            <w:tcW w:w="993" w:type="dxa"/>
          </w:tcPr>
          <w:p w14:paraId="155675A7"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r w:rsidRPr="002B3739">
              <w:rPr>
                <w:rFonts w:ascii="Times New Roman" w:eastAsia="Batang" w:hAnsi="Times New Roman" w:cs="Times New Roman"/>
                <w:sz w:val="24"/>
                <w:szCs w:val="24"/>
              </w:rPr>
              <w:t>GHȻ</w:t>
            </w:r>
          </w:p>
        </w:tc>
      </w:tr>
      <w:tr w:rsidR="000A2E72" w:rsidRPr="002B3739" w14:paraId="2FEE266A" w14:textId="77777777" w:rsidTr="00A7008B">
        <w:tc>
          <w:tcPr>
            <w:tcW w:w="570" w:type="dxa"/>
          </w:tcPr>
          <w:p w14:paraId="7104D35A"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1</w:t>
            </w:r>
          </w:p>
        </w:tc>
        <w:tc>
          <w:tcPr>
            <w:tcW w:w="4641" w:type="dxa"/>
          </w:tcPr>
          <w:p w14:paraId="612D240C"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Research cost (</w:t>
            </w:r>
            <w:r w:rsidRPr="002B3739">
              <w:rPr>
                <w:rFonts w:ascii="Times New Roman" w:hAnsi="Times New Roman" w:cs="Times New Roman"/>
                <w:sz w:val="24"/>
                <w:szCs w:val="24"/>
              </w:rPr>
              <w:t>published text books, newspapers, journals, articles, magazines and the internet</w:t>
            </w:r>
            <w:r w:rsidRPr="002B3739">
              <w:rPr>
                <w:rFonts w:ascii="Times New Roman" w:eastAsia="Batang" w:hAnsi="Times New Roman" w:cs="Times New Roman"/>
                <w:sz w:val="24"/>
                <w:szCs w:val="24"/>
              </w:rPr>
              <w:t>)</w:t>
            </w:r>
          </w:p>
        </w:tc>
        <w:tc>
          <w:tcPr>
            <w:tcW w:w="851" w:type="dxa"/>
          </w:tcPr>
          <w:p w14:paraId="1BCCC00C"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p>
        </w:tc>
        <w:tc>
          <w:tcPr>
            <w:tcW w:w="1984" w:type="dxa"/>
          </w:tcPr>
          <w:p w14:paraId="18F03E1D"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p>
        </w:tc>
        <w:tc>
          <w:tcPr>
            <w:tcW w:w="993" w:type="dxa"/>
          </w:tcPr>
          <w:p w14:paraId="538BA963"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1000</w:t>
            </w:r>
          </w:p>
        </w:tc>
      </w:tr>
      <w:tr w:rsidR="000A2E72" w:rsidRPr="002B3739" w14:paraId="3E0CD4BC" w14:textId="77777777" w:rsidTr="00A7008B">
        <w:tc>
          <w:tcPr>
            <w:tcW w:w="570" w:type="dxa"/>
          </w:tcPr>
          <w:p w14:paraId="5E44761D"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2</w:t>
            </w:r>
          </w:p>
        </w:tc>
        <w:tc>
          <w:tcPr>
            <w:tcW w:w="4641" w:type="dxa"/>
          </w:tcPr>
          <w:p w14:paraId="03742CED"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Printing and photocopying of questionnaires &amp; interview schedule</w:t>
            </w:r>
          </w:p>
        </w:tc>
        <w:tc>
          <w:tcPr>
            <w:tcW w:w="851" w:type="dxa"/>
          </w:tcPr>
          <w:p w14:paraId="1AEC3347"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0.30</w:t>
            </w:r>
          </w:p>
        </w:tc>
        <w:tc>
          <w:tcPr>
            <w:tcW w:w="1984" w:type="dxa"/>
          </w:tcPr>
          <w:p w14:paraId="7277E097"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GHȻ0.30 x 700 papers (min.)</w:t>
            </w:r>
          </w:p>
        </w:tc>
        <w:tc>
          <w:tcPr>
            <w:tcW w:w="993" w:type="dxa"/>
          </w:tcPr>
          <w:p w14:paraId="7BEFEABA"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210</w:t>
            </w:r>
          </w:p>
        </w:tc>
      </w:tr>
      <w:tr w:rsidR="000A2E72" w:rsidRPr="002B3739" w14:paraId="54F60681" w14:textId="77777777" w:rsidTr="00A7008B">
        <w:tc>
          <w:tcPr>
            <w:tcW w:w="570" w:type="dxa"/>
          </w:tcPr>
          <w:p w14:paraId="0D4A112F"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3</w:t>
            </w:r>
          </w:p>
        </w:tc>
        <w:tc>
          <w:tcPr>
            <w:tcW w:w="4641" w:type="dxa"/>
          </w:tcPr>
          <w:p w14:paraId="6D81E63A"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Printing of drafts &amp; final thesis</w:t>
            </w:r>
          </w:p>
        </w:tc>
        <w:tc>
          <w:tcPr>
            <w:tcW w:w="851" w:type="dxa"/>
          </w:tcPr>
          <w:p w14:paraId="2B6A3B14"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0.30</w:t>
            </w:r>
          </w:p>
        </w:tc>
        <w:tc>
          <w:tcPr>
            <w:tcW w:w="1984" w:type="dxa"/>
          </w:tcPr>
          <w:p w14:paraId="2569396C"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GHȻ0.30 x 120 papers (min.) x 4 copies</w:t>
            </w:r>
          </w:p>
        </w:tc>
        <w:tc>
          <w:tcPr>
            <w:tcW w:w="993" w:type="dxa"/>
          </w:tcPr>
          <w:p w14:paraId="50CC9ED4"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144</w:t>
            </w:r>
          </w:p>
        </w:tc>
      </w:tr>
      <w:tr w:rsidR="000A2E72" w:rsidRPr="002B3739" w14:paraId="7CA7453B" w14:textId="77777777" w:rsidTr="00A7008B">
        <w:tc>
          <w:tcPr>
            <w:tcW w:w="570" w:type="dxa"/>
          </w:tcPr>
          <w:p w14:paraId="7D645462"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4</w:t>
            </w:r>
          </w:p>
        </w:tc>
        <w:tc>
          <w:tcPr>
            <w:tcW w:w="4641" w:type="dxa"/>
          </w:tcPr>
          <w:p w14:paraId="0D06256C"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hAnsi="Times New Roman" w:cs="Times New Roman"/>
                <w:bCs/>
                <w:sz w:val="24"/>
                <w:szCs w:val="24"/>
              </w:rPr>
              <w:t>Thesis presentation (binding) /Defense</w:t>
            </w:r>
          </w:p>
        </w:tc>
        <w:tc>
          <w:tcPr>
            <w:tcW w:w="851" w:type="dxa"/>
          </w:tcPr>
          <w:p w14:paraId="3FD6506A"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p>
        </w:tc>
        <w:tc>
          <w:tcPr>
            <w:tcW w:w="1984" w:type="dxa"/>
          </w:tcPr>
          <w:p w14:paraId="1BD7C47B"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p>
        </w:tc>
        <w:tc>
          <w:tcPr>
            <w:tcW w:w="993" w:type="dxa"/>
          </w:tcPr>
          <w:p w14:paraId="3F997195"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1000</w:t>
            </w:r>
          </w:p>
        </w:tc>
      </w:tr>
      <w:tr w:rsidR="000A2E72" w:rsidRPr="002B3739" w14:paraId="5FA4F6FE" w14:textId="77777777" w:rsidTr="00A7008B">
        <w:tc>
          <w:tcPr>
            <w:tcW w:w="570" w:type="dxa"/>
          </w:tcPr>
          <w:p w14:paraId="3817DC0C"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lastRenderedPageBreak/>
              <w:t>5</w:t>
            </w:r>
          </w:p>
        </w:tc>
        <w:tc>
          <w:tcPr>
            <w:tcW w:w="4641" w:type="dxa"/>
          </w:tcPr>
          <w:p w14:paraId="06619CB1" w14:textId="77777777" w:rsidR="000A2E72" w:rsidRPr="002B3739" w:rsidRDefault="000A2E72" w:rsidP="00A7008B">
            <w:pPr>
              <w:autoSpaceDE w:val="0"/>
              <w:autoSpaceDN w:val="0"/>
              <w:adjustRightInd w:val="0"/>
              <w:jc w:val="both"/>
              <w:rPr>
                <w:rFonts w:ascii="Times New Roman" w:hAnsi="Times New Roman" w:cs="Times New Roman"/>
                <w:bCs/>
                <w:sz w:val="24"/>
                <w:szCs w:val="24"/>
              </w:rPr>
            </w:pPr>
            <w:r w:rsidRPr="002B3739">
              <w:rPr>
                <w:rFonts w:ascii="Times New Roman" w:hAnsi="Times New Roman" w:cs="Times New Roman"/>
                <w:bCs/>
                <w:sz w:val="24"/>
                <w:szCs w:val="24"/>
              </w:rPr>
              <w:t xml:space="preserve">Transportation </w:t>
            </w:r>
          </w:p>
        </w:tc>
        <w:tc>
          <w:tcPr>
            <w:tcW w:w="851" w:type="dxa"/>
          </w:tcPr>
          <w:p w14:paraId="69C4EE17"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p>
        </w:tc>
        <w:tc>
          <w:tcPr>
            <w:tcW w:w="1984" w:type="dxa"/>
          </w:tcPr>
          <w:p w14:paraId="42EEE69C"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p>
        </w:tc>
        <w:tc>
          <w:tcPr>
            <w:tcW w:w="993" w:type="dxa"/>
          </w:tcPr>
          <w:p w14:paraId="6211CAFB"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1700</w:t>
            </w:r>
          </w:p>
        </w:tc>
      </w:tr>
      <w:tr w:rsidR="000A2E72" w:rsidRPr="002B3739" w14:paraId="4BCB579D" w14:textId="77777777" w:rsidTr="00A7008B">
        <w:tc>
          <w:tcPr>
            <w:tcW w:w="570" w:type="dxa"/>
          </w:tcPr>
          <w:p w14:paraId="56A4591F"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6</w:t>
            </w:r>
          </w:p>
        </w:tc>
        <w:tc>
          <w:tcPr>
            <w:tcW w:w="4641" w:type="dxa"/>
          </w:tcPr>
          <w:p w14:paraId="79FBD4D9" w14:textId="77777777" w:rsidR="000A2E72" w:rsidRPr="002B3739" w:rsidRDefault="000A2E72" w:rsidP="00A7008B">
            <w:pPr>
              <w:autoSpaceDE w:val="0"/>
              <w:autoSpaceDN w:val="0"/>
              <w:adjustRightInd w:val="0"/>
              <w:jc w:val="both"/>
              <w:rPr>
                <w:rFonts w:ascii="Times New Roman" w:hAnsi="Times New Roman" w:cs="Times New Roman"/>
                <w:bCs/>
                <w:sz w:val="24"/>
                <w:szCs w:val="24"/>
              </w:rPr>
            </w:pPr>
            <w:r w:rsidRPr="002B3739">
              <w:rPr>
                <w:rFonts w:ascii="Times New Roman" w:hAnsi="Times New Roman" w:cs="Times New Roman"/>
                <w:bCs/>
                <w:sz w:val="24"/>
                <w:szCs w:val="24"/>
              </w:rPr>
              <w:t>Stationery (pens, pencil, erasers, flip charts, etc)</w:t>
            </w:r>
          </w:p>
        </w:tc>
        <w:tc>
          <w:tcPr>
            <w:tcW w:w="851" w:type="dxa"/>
          </w:tcPr>
          <w:p w14:paraId="4D2179D3"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p>
        </w:tc>
        <w:tc>
          <w:tcPr>
            <w:tcW w:w="1984" w:type="dxa"/>
          </w:tcPr>
          <w:p w14:paraId="184B6A33"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p>
        </w:tc>
        <w:tc>
          <w:tcPr>
            <w:tcW w:w="993" w:type="dxa"/>
          </w:tcPr>
          <w:p w14:paraId="2035D223"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50</w:t>
            </w:r>
          </w:p>
        </w:tc>
      </w:tr>
      <w:tr w:rsidR="000A2E72" w:rsidRPr="002B3739" w14:paraId="7CB3718F" w14:textId="77777777" w:rsidTr="00A7008B">
        <w:tc>
          <w:tcPr>
            <w:tcW w:w="570" w:type="dxa"/>
          </w:tcPr>
          <w:p w14:paraId="52ED0623"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7</w:t>
            </w:r>
          </w:p>
        </w:tc>
        <w:tc>
          <w:tcPr>
            <w:tcW w:w="4641" w:type="dxa"/>
          </w:tcPr>
          <w:p w14:paraId="6A116054" w14:textId="77777777" w:rsidR="000A2E72" w:rsidRPr="002B3739" w:rsidRDefault="000A2E72" w:rsidP="00A7008B">
            <w:pPr>
              <w:autoSpaceDE w:val="0"/>
              <w:autoSpaceDN w:val="0"/>
              <w:adjustRightInd w:val="0"/>
              <w:jc w:val="both"/>
              <w:rPr>
                <w:rFonts w:ascii="Times New Roman" w:hAnsi="Times New Roman" w:cs="Times New Roman"/>
                <w:bCs/>
                <w:sz w:val="24"/>
                <w:szCs w:val="24"/>
              </w:rPr>
            </w:pPr>
            <w:r w:rsidRPr="002B3739">
              <w:rPr>
                <w:rFonts w:ascii="Times New Roman" w:hAnsi="Times New Roman" w:cs="Times New Roman"/>
                <w:bCs/>
                <w:sz w:val="24"/>
                <w:szCs w:val="24"/>
              </w:rPr>
              <w:t xml:space="preserve">Miscellaneous </w:t>
            </w:r>
          </w:p>
        </w:tc>
        <w:tc>
          <w:tcPr>
            <w:tcW w:w="851" w:type="dxa"/>
          </w:tcPr>
          <w:p w14:paraId="37A95AC5"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p>
        </w:tc>
        <w:tc>
          <w:tcPr>
            <w:tcW w:w="1984" w:type="dxa"/>
          </w:tcPr>
          <w:p w14:paraId="770C12C0"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p>
        </w:tc>
        <w:tc>
          <w:tcPr>
            <w:tcW w:w="993" w:type="dxa"/>
          </w:tcPr>
          <w:p w14:paraId="25385221" w14:textId="77777777" w:rsidR="000A2E72" w:rsidRPr="002B3739" w:rsidRDefault="000A2E72" w:rsidP="00A7008B">
            <w:pPr>
              <w:autoSpaceDE w:val="0"/>
              <w:autoSpaceDN w:val="0"/>
              <w:adjustRightInd w:val="0"/>
              <w:jc w:val="both"/>
              <w:rPr>
                <w:rFonts w:ascii="Times New Roman" w:eastAsia="Batang" w:hAnsi="Times New Roman" w:cs="Times New Roman"/>
                <w:sz w:val="24"/>
                <w:szCs w:val="24"/>
              </w:rPr>
            </w:pPr>
            <w:r w:rsidRPr="002B3739">
              <w:rPr>
                <w:rFonts w:ascii="Times New Roman" w:eastAsia="Batang" w:hAnsi="Times New Roman" w:cs="Times New Roman"/>
                <w:sz w:val="24"/>
                <w:szCs w:val="24"/>
              </w:rPr>
              <w:t>600</w:t>
            </w:r>
          </w:p>
        </w:tc>
      </w:tr>
      <w:tr w:rsidR="000A2E72" w:rsidRPr="002B3739" w14:paraId="64434DED" w14:textId="77777777" w:rsidTr="00A7008B">
        <w:tc>
          <w:tcPr>
            <w:tcW w:w="570" w:type="dxa"/>
          </w:tcPr>
          <w:p w14:paraId="0B187649"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p>
        </w:tc>
        <w:tc>
          <w:tcPr>
            <w:tcW w:w="4641" w:type="dxa"/>
          </w:tcPr>
          <w:p w14:paraId="447E8165" w14:textId="77777777" w:rsidR="000A2E72" w:rsidRPr="002B3739" w:rsidRDefault="000A2E72" w:rsidP="00A7008B">
            <w:pPr>
              <w:autoSpaceDE w:val="0"/>
              <w:autoSpaceDN w:val="0"/>
              <w:adjustRightInd w:val="0"/>
              <w:jc w:val="both"/>
              <w:rPr>
                <w:rFonts w:ascii="Times New Roman" w:hAnsi="Times New Roman" w:cs="Times New Roman"/>
                <w:b/>
                <w:bCs/>
                <w:sz w:val="24"/>
                <w:szCs w:val="24"/>
              </w:rPr>
            </w:pPr>
            <w:r w:rsidRPr="002B3739">
              <w:rPr>
                <w:rFonts w:ascii="Times New Roman" w:hAnsi="Times New Roman" w:cs="Times New Roman"/>
                <w:b/>
                <w:bCs/>
                <w:sz w:val="24"/>
                <w:szCs w:val="24"/>
              </w:rPr>
              <w:t>TOTAL</w:t>
            </w:r>
          </w:p>
        </w:tc>
        <w:tc>
          <w:tcPr>
            <w:tcW w:w="851" w:type="dxa"/>
          </w:tcPr>
          <w:p w14:paraId="4436E658"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p>
        </w:tc>
        <w:tc>
          <w:tcPr>
            <w:tcW w:w="1984" w:type="dxa"/>
          </w:tcPr>
          <w:p w14:paraId="092F91F8"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p>
        </w:tc>
        <w:tc>
          <w:tcPr>
            <w:tcW w:w="993" w:type="dxa"/>
          </w:tcPr>
          <w:p w14:paraId="00FF7BF6" w14:textId="77777777" w:rsidR="000A2E72" w:rsidRPr="002B3739" w:rsidRDefault="000A2E72" w:rsidP="00A7008B">
            <w:pPr>
              <w:autoSpaceDE w:val="0"/>
              <w:autoSpaceDN w:val="0"/>
              <w:adjustRightInd w:val="0"/>
              <w:jc w:val="both"/>
              <w:rPr>
                <w:rFonts w:ascii="Times New Roman" w:eastAsia="Batang" w:hAnsi="Times New Roman" w:cs="Times New Roman"/>
                <w:b/>
                <w:sz w:val="24"/>
                <w:szCs w:val="24"/>
              </w:rPr>
            </w:pPr>
            <w:r w:rsidRPr="002B3739">
              <w:rPr>
                <w:rFonts w:ascii="Times New Roman" w:eastAsia="Batang" w:hAnsi="Times New Roman" w:cs="Times New Roman"/>
                <w:b/>
                <w:sz w:val="24"/>
                <w:szCs w:val="24"/>
              </w:rPr>
              <w:t>4704</w:t>
            </w:r>
          </w:p>
        </w:tc>
      </w:tr>
    </w:tbl>
    <w:p w14:paraId="05117AD5" w14:textId="77777777" w:rsidR="000A2E72" w:rsidRPr="002B3739" w:rsidRDefault="000A2E72" w:rsidP="000A2E72">
      <w:pPr>
        <w:spacing w:before="240" w:after="240" w:line="480" w:lineRule="auto"/>
        <w:jc w:val="both"/>
        <w:rPr>
          <w:rFonts w:ascii="Times New Roman" w:hAnsi="Times New Roman" w:cs="Times New Roman"/>
          <w:sz w:val="24"/>
          <w:szCs w:val="24"/>
          <w:lang w:val="en-US"/>
        </w:rPr>
      </w:pPr>
      <w:bookmarkStart w:id="6" w:name="_Toc501854586"/>
    </w:p>
    <w:p w14:paraId="0AA1F461" w14:textId="77777777" w:rsidR="000A2E72" w:rsidRPr="000A2E72" w:rsidRDefault="000A2E72" w:rsidP="000A2E72">
      <w:pPr>
        <w:pStyle w:val="Heading2"/>
        <w:spacing w:before="240" w:after="240" w:line="480" w:lineRule="auto"/>
        <w:jc w:val="both"/>
        <w:rPr>
          <w:rFonts w:ascii="Times New Roman" w:eastAsia="Batang" w:hAnsi="Times New Roman" w:cs="Times New Roman"/>
          <w:b/>
          <w:bCs/>
          <w:color w:val="auto"/>
          <w:sz w:val="24"/>
          <w:szCs w:val="24"/>
        </w:rPr>
      </w:pPr>
      <w:r w:rsidRPr="000A2E72">
        <w:rPr>
          <w:rFonts w:ascii="Times New Roman" w:hAnsi="Times New Roman" w:cs="Times New Roman"/>
          <w:b/>
          <w:bCs/>
          <w:color w:val="auto"/>
          <w:sz w:val="24"/>
          <w:szCs w:val="24"/>
          <w:lang w:val="en-US"/>
        </w:rPr>
        <w:t>Research P</w:t>
      </w:r>
      <w:bookmarkEnd w:id="6"/>
      <w:r w:rsidRPr="000A2E72">
        <w:rPr>
          <w:rFonts w:ascii="Times New Roman" w:hAnsi="Times New Roman" w:cs="Times New Roman"/>
          <w:b/>
          <w:bCs/>
          <w:color w:val="auto"/>
          <w:sz w:val="24"/>
          <w:szCs w:val="24"/>
          <w:lang w:val="en-US"/>
        </w:rPr>
        <w:t>lan</w:t>
      </w:r>
      <w:r w:rsidRPr="000A2E72">
        <w:rPr>
          <w:rFonts w:ascii="Times New Roman" w:hAnsi="Times New Roman" w:cs="Times New Roman"/>
          <w:b/>
          <w:bCs/>
          <w:color w:val="auto"/>
          <w:sz w:val="24"/>
          <w:szCs w:val="24"/>
        </w:rPr>
        <w:t xml:space="preserve"> </w:t>
      </w:r>
    </w:p>
    <w:p w14:paraId="0228ED28" w14:textId="77777777" w:rsidR="000A2E72" w:rsidRPr="002B3739" w:rsidRDefault="000A2E72" w:rsidP="000A2E72">
      <w:pPr>
        <w:autoSpaceDE w:val="0"/>
        <w:autoSpaceDN w:val="0"/>
        <w:adjustRightInd w:val="0"/>
        <w:spacing w:before="240" w:after="240" w:line="480" w:lineRule="auto"/>
        <w:jc w:val="both"/>
        <w:rPr>
          <w:rFonts w:ascii="Times New Roman" w:eastAsia="Batang" w:hAnsi="Times New Roman" w:cs="Times New Roman"/>
          <w:sz w:val="24"/>
          <w:szCs w:val="24"/>
          <w:lang w:val="en-US"/>
        </w:rPr>
      </w:pPr>
      <w:r w:rsidRPr="002B3739">
        <w:rPr>
          <w:rFonts w:ascii="Times New Roman" w:hAnsi="Times New Roman" w:cs="Times New Roman"/>
          <w:bCs/>
          <w:sz w:val="24"/>
          <w:szCs w:val="24"/>
        </w:rPr>
        <w:t>The expected research plan for the study is presented in Table 2 below.</w:t>
      </w:r>
    </w:p>
    <w:tbl>
      <w:tblPr>
        <w:tblStyle w:val="TableGrid"/>
        <w:tblW w:w="907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6804"/>
        <w:gridCol w:w="2268"/>
      </w:tblGrid>
      <w:tr w:rsidR="000A2E72" w:rsidRPr="002B3739" w14:paraId="7305C168" w14:textId="77777777" w:rsidTr="00A7008B">
        <w:tc>
          <w:tcPr>
            <w:tcW w:w="9072" w:type="dxa"/>
            <w:gridSpan w:val="2"/>
          </w:tcPr>
          <w:p w14:paraId="771EC8AE" w14:textId="77777777" w:rsidR="000A2E72" w:rsidRPr="002B3739" w:rsidRDefault="000A2E72" w:rsidP="00A7008B">
            <w:pPr>
              <w:autoSpaceDE w:val="0"/>
              <w:autoSpaceDN w:val="0"/>
              <w:adjustRightInd w:val="0"/>
              <w:spacing w:before="120" w:after="120"/>
              <w:jc w:val="both"/>
              <w:rPr>
                <w:rFonts w:ascii="Times New Roman" w:hAnsi="Times New Roman" w:cs="Times New Roman"/>
                <w:b/>
                <w:bCs/>
                <w:sz w:val="24"/>
                <w:szCs w:val="24"/>
              </w:rPr>
            </w:pPr>
            <w:r w:rsidRPr="002B3739">
              <w:rPr>
                <w:rFonts w:ascii="Times New Roman" w:hAnsi="Times New Roman" w:cs="Times New Roman"/>
                <w:b/>
                <w:bCs/>
                <w:sz w:val="24"/>
                <w:szCs w:val="24"/>
              </w:rPr>
              <w:t>Table 2:</w:t>
            </w:r>
            <w:r w:rsidRPr="002B3739">
              <w:rPr>
                <w:rFonts w:ascii="Times New Roman" w:hAnsi="Times New Roman" w:cs="Times New Roman"/>
                <w:sz w:val="24"/>
                <w:szCs w:val="24"/>
              </w:rPr>
              <w:t xml:space="preserve"> </w:t>
            </w:r>
            <w:r w:rsidRPr="002B3739">
              <w:rPr>
                <w:rFonts w:ascii="Times New Roman" w:hAnsi="Times New Roman" w:cs="Times New Roman"/>
                <w:b/>
                <w:bCs/>
                <w:sz w:val="24"/>
                <w:szCs w:val="24"/>
              </w:rPr>
              <w:t>Research Plan</w:t>
            </w:r>
          </w:p>
        </w:tc>
      </w:tr>
      <w:tr w:rsidR="000A2E72" w:rsidRPr="002B3739" w14:paraId="465FA132" w14:textId="77777777" w:rsidTr="00A7008B">
        <w:tc>
          <w:tcPr>
            <w:tcW w:w="6804" w:type="dxa"/>
          </w:tcPr>
          <w:p w14:paraId="3ED9AFD6" w14:textId="77777777" w:rsidR="000A2E72" w:rsidRPr="002B3739" w:rsidRDefault="000A2E72" w:rsidP="00A7008B">
            <w:pPr>
              <w:autoSpaceDE w:val="0"/>
              <w:autoSpaceDN w:val="0"/>
              <w:adjustRightInd w:val="0"/>
              <w:spacing w:before="120" w:after="120"/>
              <w:jc w:val="both"/>
              <w:rPr>
                <w:rFonts w:ascii="Times New Roman" w:hAnsi="Times New Roman" w:cs="Times New Roman"/>
                <w:b/>
                <w:bCs/>
                <w:sz w:val="24"/>
                <w:szCs w:val="24"/>
              </w:rPr>
            </w:pPr>
            <w:r w:rsidRPr="002B3739">
              <w:rPr>
                <w:rFonts w:ascii="Times New Roman" w:eastAsia="Batang" w:hAnsi="Times New Roman" w:cs="Times New Roman"/>
                <w:b/>
                <w:sz w:val="24"/>
                <w:szCs w:val="24"/>
              </w:rPr>
              <w:t>Tasks</w:t>
            </w:r>
          </w:p>
        </w:tc>
        <w:tc>
          <w:tcPr>
            <w:tcW w:w="2268" w:type="dxa"/>
          </w:tcPr>
          <w:p w14:paraId="403B84BA" w14:textId="77777777" w:rsidR="000A2E72" w:rsidRPr="002B3739" w:rsidRDefault="000A2E72" w:rsidP="00A7008B">
            <w:pPr>
              <w:autoSpaceDE w:val="0"/>
              <w:autoSpaceDN w:val="0"/>
              <w:adjustRightInd w:val="0"/>
              <w:spacing w:before="120" w:after="120"/>
              <w:jc w:val="both"/>
              <w:rPr>
                <w:rFonts w:ascii="Times New Roman" w:hAnsi="Times New Roman" w:cs="Times New Roman"/>
                <w:b/>
                <w:bCs/>
                <w:sz w:val="24"/>
                <w:szCs w:val="24"/>
              </w:rPr>
            </w:pPr>
            <w:r w:rsidRPr="002B3739">
              <w:rPr>
                <w:rFonts w:ascii="Times New Roman" w:hAnsi="Times New Roman" w:cs="Times New Roman"/>
                <w:b/>
                <w:bCs/>
                <w:sz w:val="24"/>
                <w:szCs w:val="24"/>
              </w:rPr>
              <w:t xml:space="preserve">Date </w:t>
            </w:r>
          </w:p>
        </w:tc>
      </w:tr>
      <w:tr w:rsidR="000A2E72" w:rsidRPr="002B3739" w14:paraId="3579959A" w14:textId="77777777" w:rsidTr="00A7008B">
        <w:tc>
          <w:tcPr>
            <w:tcW w:w="6804" w:type="dxa"/>
          </w:tcPr>
          <w:p w14:paraId="5DB7DBE5" w14:textId="77777777" w:rsidR="000A2E72" w:rsidRPr="002B3739" w:rsidRDefault="000A2E72" w:rsidP="00A7008B">
            <w:pPr>
              <w:autoSpaceDE w:val="0"/>
              <w:autoSpaceDN w:val="0"/>
              <w:adjustRightInd w:val="0"/>
              <w:spacing w:before="120" w:after="120"/>
              <w:jc w:val="both"/>
              <w:rPr>
                <w:rFonts w:ascii="Times New Roman" w:eastAsia="Batang" w:hAnsi="Times New Roman" w:cs="Times New Roman"/>
                <w:b/>
                <w:sz w:val="24"/>
                <w:szCs w:val="24"/>
              </w:rPr>
            </w:pPr>
            <w:r w:rsidRPr="002B3739">
              <w:rPr>
                <w:rFonts w:ascii="Times New Roman" w:eastAsia="Batang" w:hAnsi="Times New Roman" w:cs="Times New Roman"/>
                <w:sz w:val="24"/>
                <w:szCs w:val="24"/>
              </w:rPr>
              <w:t>Research proposal</w:t>
            </w:r>
          </w:p>
        </w:tc>
        <w:tc>
          <w:tcPr>
            <w:tcW w:w="2268" w:type="dxa"/>
          </w:tcPr>
          <w:p w14:paraId="717BCD22" w14:textId="4F9066AB" w:rsidR="000A2E72" w:rsidRPr="002B3739" w:rsidRDefault="0078625B" w:rsidP="00A7008B">
            <w:pPr>
              <w:autoSpaceDE w:val="0"/>
              <w:autoSpaceDN w:val="0"/>
              <w:adjustRightInd w:val="0"/>
              <w:spacing w:before="120" w:after="120"/>
              <w:jc w:val="both"/>
              <w:rPr>
                <w:rFonts w:ascii="Times New Roman" w:hAnsi="Times New Roman" w:cs="Times New Roman"/>
                <w:bCs/>
                <w:sz w:val="24"/>
                <w:szCs w:val="24"/>
              </w:rPr>
            </w:pPr>
            <w:r>
              <w:rPr>
                <w:rFonts w:ascii="Times New Roman" w:hAnsi="Times New Roman" w:cs="Times New Roman"/>
                <w:bCs/>
                <w:sz w:val="24"/>
                <w:szCs w:val="24"/>
              </w:rPr>
              <w:t>15</w:t>
            </w:r>
            <w:r w:rsidR="000A2E72" w:rsidRPr="002B3739">
              <w:rPr>
                <w:rFonts w:ascii="Times New Roman" w:hAnsi="Times New Roman" w:cs="Times New Roman"/>
                <w:bCs/>
                <w:sz w:val="24"/>
                <w:szCs w:val="24"/>
                <w:vertAlign w:val="superscript"/>
              </w:rPr>
              <w:t>th</w:t>
            </w:r>
            <w:r w:rsidR="000A2E72" w:rsidRPr="002B3739">
              <w:rPr>
                <w:rFonts w:ascii="Times New Roman" w:hAnsi="Times New Roman" w:cs="Times New Roman"/>
                <w:bCs/>
                <w:sz w:val="24"/>
                <w:szCs w:val="24"/>
              </w:rPr>
              <w:t xml:space="preserve"> March, 20</w:t>
            </w:r>
            <w:r w:rsidR="000A2E72">
              <w:rPr>
                <w:rFonts w:ascii="Times New Roman" w:hAnsi="Times New Roman" w:cs="Times New Roman"/>
                <w:bCs/>
                <w:sz w:val="24"/>
                <w:szCs w:val="24"/>
              </w:rPr>
              <w:t>25</w:t>
            </w:r>
          </w:p>
        </w:tc>
      </w:tr>
      <w:tr w:rsidR="000A2E72" w:rsidRPr="002B3739" w14:paraId="1BAD5837" w14:textId="77777777" w:rsidTr="00A7008B">
        <w:tc>
          <w:tcPr>
            <w:tcW w:w="6804" w:type="dxa"/>
            <w:shd w:val="clear" w:color="auto" w:fill="FFFFFF" w:themeFill="background1"/>
          </w:tcPr>
          <w:p w14:paraId="146CFF5A" w14:textId="77777777"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Chapter one – Introduction</w:t>
            </w:r>
          </w:p>
        </w:tc>
        <w:tc>
          <w:tcPr>
            <w:tcW w:w="2268" w:type="dxa"/>
            <w:shd w:val="clear" w:color="auto" w:fill="FFFFFF" w:themeFill="background1"/>
          </w:tcPr>
          <w:p w14:paraId="348CE155" w14:textId="4645191A"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5</w:t>
            </w:r>
            <w:r w:rsidRPr="002B3739">
              <w:rPr>
                <w:rFonts w:ascii="Times New Roman" w:hAnsi="Times New Roman" w:cs="Times New Roman"/>
                <w:bCs/>
                <w:sz w:val="24"/>
                <w:szCs w:val="24"/>
                <w:vertAlign w:val="superscript"/>
              </w:rPr>
              <w:t>th</w:t>
            </w:r>
            <w:r w:rsidRPr="002B3739">
              <w:rPr>
                <w:rFonts w:ascii="Times New Roman" w:hAnsi="Times New Roman" w:cs="Times New Roman"/>
                <w:bCs/>
                <w:sz w:val="24"/>
                <w:szCs w:val="24"/>
              </w:rPr>
              <w:t xml:space="preserve"> April, 20</w:t>
            </w:r>
            <w:r>
              <w:rPr>
                <w:rFonts w:ascii="Times New Roman" w:hAnsi="Times New Roman" w:cs="Times New Roman"/>
                <w:bCs/>
                <w:sz w:val="24"/>
                <w:szCs w:val="24"/>
              </w:rPr>
              <w:t>25</w:t>
            </w:r>
          </w:p>
        </w:tc>
      </w:tr>
      <w:tr w:rsidR="000A2E72" w:rsidRPr="002B3739" w14:paraId="30826A5C" w14:textId="77777777" w:rsidTr="00A7008B">
        <w:tc>
          <w:tcPr>
            <w:tcW w:w="6804" w:type="dxa"/>
            <w:shd w:val="clear" w:color="auto" w:fill="FFFFFF" w:themeFill="background1"/>
          </w:tcPr>
          <w:p w14:paraId="641E03C1" w14:textId="77777777"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Chapter two -Literature Review</w:t>
            </w:r>
          </w:p>
        </w:tc>
        <w:tc>
          <w:tcPr>
            <w:tcW w:w="2268" w:type="dxa"/>
            <w:shd w:val="clear" w:color="auto" w:fill="FFFFFF" w:themeFill="background1"/>
          </w:tcPr>
          <w:p w14:paraId="6E82F1C8" w14:textId="3932E768"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5</w:t>
            </w:r>
            <w:r w:rsidRPr="002B3739">
              <w:rPr>
                <w:rFonts w:ascii="Times New Roman" w:hAnsi="Times New Roman" w:cs="Times New Roman"/>
                <w:bCs/>
                <w:sz w:val="24"/>
                <w:szCs w:val="24"/>
                <w:vertAlign w:val="superscript"/>
              </w:rPr>
              <w:t>th</w:t>
            </w:r>
            <w:r w:rsidRPr="002B3739">
              <w:rPr>
                <w:rFonts w:ascii="Times New Roman" w:hAnsi="Times New Roman" w:cs="Times New Roman"/>
                <w:bCs/>
                <w:sz w:val="24"/>
                <w:szCs w:val="24"/>
              </w:rPr>
              <w:t xml:space="preserve"> May, 20</w:t>
            </w:r>
            <w:r>
              <w:rPr>
                <w:rFonts w:ascii="Times New Roman" w:hAnsi="Times New Roman" w:cs="Times New Roman"/>
                <w:bCs/>
                <w:sz w:val="24"/>
                <w:szCs w:val="24"/>
              </w:rPr>
              <w:t>25</w:t>
            </w:r>
          </w:p>
        </w:tc>
      </w:tr>
      <w:tr w:rsidR="000A2E72" w:rsidRPr="002B3739" w14:paraId="2B3ABE7C" w14:textId="77777777" w:rsidTr="00A7008B">
        <w:tc>
          <w:tcPr>
            <w:tcW w:w="6804" w:type="dxa"/>
            <w:shd w:val="clear" w:color="auto" w:fill="FFFFFF" w:themeFill="background1"/>
          </w:tcPr>
          <w:p w14:paraId="16372A0F" w14:textId="77777777"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 xml:space="preserve">Chapter three - Methodology </w:t>
            </w:r>
          </w:p>
        </w:tc>
        <w:tc>
          <w:tcPr>
            <w:tcW w:w="2268" w:type="dxa"/>
            <w:shd w:val="clear" w:color="auto" w:fill="FFFFFF" w:themeFill="background1"/>
          </w:tcPr>
          <w:p w14:paraId="5D5544BC" w14:textId="69EC76D3"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7</w:t>
            </w:r>
            <w:r w:rsidRPr="002B3739">
              <w:rPr>
                <w:rFonts w:ascii="Times New Roman" w:hAnsi="Times New Roman" w:cs="Times New Roman"/>
                <w:bCs/>
                <w:sz w:val="24"/>
                <w:szCs w:val="24"/>
                <w:vertAlign w:val="superscript"/>
              </w:rPr>
              <w:t>th</w:t>
            </w:r>
            <w:r w:rsidRPr="002B3739">
              <w:rPr>
                <w:rFonts w:ascii="Times New Roman" w:hAnsi="Times New Roman" w:cs="Times New Roman"/>
                <w:bCs/>
                <w:sz w:val="24"/>
                <w:szCs w:val="24"/>
              </w:rPr>
              <w:t xml:space="preserve"> June, 20</w:t>
            </w:r>
            <w:r>
              <w:rPr>
                <w:rFonts w:ascii="Times New Roman" w:hAnsi="Times New Roman" w:cs="Times New Roman"/>
                <w:bCs/>
                <w:sz w:val="24"/>
                <w:szCs w:val="24"/>
              </w:rPr>
              <w:t>25</w:t>
            </w:r>
          </w:p>
        </w:tc>
      </w:tr>
      <w:tr w:rsidR="000A2E72" w:rsidRPr="002B3739" w14:paraId="5DE1620B" w14:textId="77777777" w:rsidTr="00A7008B">
        <w:tc>
          <w:tcPr>
            <w:tcW w:w="6804" w:type="dxa"/>
            <w:shd w:val="clear" w:color="auto" w:fill="FFFFFF" w:themeFill="background1"/>
          </w:tcPr>
          <w:p w14:paraId="07AA5AE4" w14:textId="77777777" w:rsidR="000A2E72" w:rsidRPr="002B3739" w:rsidRDefault="000A2E72" w:rsidP="00A7008B">
            <w:pPr>
              <w:autoSpaceDE w:val="0"/>
              <w:autoSpaceDN w:val="0"/>
              <w:adjustRightInd w:val="0"/>
              <w:spacing w:before="120" w:after="120"/>
              <w:jc w:val="both"/>
              <w:rPr>
                <w:rFonts w:ascii="Times New Roman" w:hAnsi="Times New Roman" w:cs="Times New Roman"/>
                <w:b/>
                <w:bCs/>
                <w:sz w:val="24"/>
                <w:szCs w:val="24"/>
              </w:rPr>
            </w:pPr>
            <w:r w:rsidRPr="002B3739">
              <w:rPr>
                <w:rFonts w:ascii="Times New Roman" w:hAnsi="Times New Roman" w:cs="Times New Roman"/>
                <w:bCs/>
                <w:sz w:val="24"/>
                <w:szCs w:val="24"/>
              </w:rPr>
              <w:t xml:space="preserve">Questionnaires development </w:t>
            </w:r>
          </w:p>
        </w:tc>
        <w:tc>
          <w:tcPr>
            <w:tcW w:w="2268" w:type="dxa"/>
            <w:shd w:val="clear" w:color="auto" w:fill="FFFFFF" w:themeFill="background1"/>
          </w:tcPr>
          <w:p w14:paraId="2D6D8704" w14:textId="72B92F8B"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15</w:t>
            </w:r>
            <w:r w:rsidRPr="002B3739">
              <w:rPr>
                <w:rFonts w:ascii="Times New Roman" w:hAnsi="Times New Roman" w:cs="Times New Roman"/>
                <w:bCs/>
                <w:sz w:val="24"/>
                <w:szCs w:val="24"/>
                <w:vertAlign w:val="superscript"/>
              </w:rPr>
              <w:t>th</w:t>
            </w:r>
            <w:r w:rsidRPr="002B3739">
              <w:rPr>
                <w:rFonts w:ascii="Times New Roman" w:hAnsi="Times New Roman" w:cs="Times New Roman"/>
                <w:bCs/>
                <w:sz w:val="24"/>
                <w:szCs w:val="24"/>
              </w:rPr>
              <w:t xml:space="preserve"> June, 20</w:t>
            </w:r>
            <w:r>
              <w:rPr>
                <w:rFonts w:ascii="Times New Roman" w:hAnsi="Times New Roman" w:cs="Times New Roman"/>
                <w:bCs/>
                <w:sz w:val="24"/>
                <w:szCs w:val="24"/>
              </w:rPr>
              <w:t>25</w:t>
            </w:r>
          </w:p>
        </w:tc>
      </w:tr>
      <w:tr w:rsidR="000A2E72" w:rsidRPr="002B3739" w14:paraId="16AE2EA0" w14:textId="77777777" w:rsidTr="00A7008B">
        <w:tc>
          <w:tcPr>
            <w:tcW w:w="6804" w:type="dxa"/>
            <w:shd w:val="clear" w:color="auto" w:fill="FFFFFF" w:themeFill="background1"/>
          </w:tcPr>
          <w:p w14:paraId="2A7B25AD" w14:textId="77777777"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sz w:val="24"/>
                <w:szCs w:val="24"/>
              </w:rPr>
              <w:t>Pilot test and revision of questionnaire</w:t>
            </w:r>
          </w:p>
        </w:tc>
        <w:tc>
          <w:tcPr>
            <w:tcW w:w="2268" w:type="dxa"/>
            <w:shd w:val="clear" w:color="auto" w:fill="FFFFFF" w:themeFill="background1"/>
          </w:tcPr>
          <w:p w14:paraId="516123FB" w14:textId="0E4F3112"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20</w:t>
            </w:r>
            <w:r w:rsidRPr="002B3739">
              <w:rPr>
                <w:rFonts w:ascii="Times New Roman" w:hAnsi="Times New Roman" w:cs="Times New Roman"/>
                <w:bCs/>
                <w:sz w:val="24"/>
                <w:szCs w:val="24"/>
                <w:vertAlign w:val="superscript"/>
              </w:rPr>
              <w:t>th</w:t>
            </w:r>
            <w:r w:rsidRPr="002B3739">
              <w:rPr>
                <w:rFonts w:ascii="Times New Roman" w:hAnsi="Times New Roman" w:cs="Times New Roman"/>
                <w:bCs/>
                <w:sz w:val="24"/>
                <w:szCs w:val="24"/>
              </w:rPr>
              <w:t xml:space="preserve"> June, 20</w:t>
            </w:r>
            <w:r>
              <w:rPr>
                <w:rFonts w:ascii="Times New Roman" w:hAnsi="Times New Roman" w:cs="Times New Roman"/>
                <w:bCs/>
                <w:sz w:val="24"/>
                <w:szCs w:val="24"/>
              </w:rPr>
              <w:t>25</w:t>
            </w:r>
          </w:p>
        </w:tc>
      </w:tr>
      <w:tr w:rsidR="000A2E72" w:rsidRPr="002B3739" w14:paraId="2CDD5357" w14:textId="77777777" w:rsidTr="00A7008B">
        <w:tc>
          <w:tcPr>
            <w:tcW w:w="6804" w:type="dxa"/>
            <w:shd w:val="clear" w:color="auto" w:fill="FFFFFF" w:themeFill="background1"/>
          </w:tcPr>
          <w:p w14:paraId="333F6CD1" w14:textId="77777777"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Administering of Questionnaires</w:t>
            </w:r>
          </w:p>
        </w:tc>
        <w:tc>
          <w:tcPr>
            <w:tcW w:w="2268" w:type="dxa"/>
            <w:shd w:val="clear" w:color="auto" w:fill="FFFFFF" w:themeFill="background1"/>
          </w:tcPr>
          <w:p w14:paraId="233E6CB6" w14:textId="6F99A48A"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25</w:t>
            </w:r>
            <w:r w:rsidRPr="002B3739">
              <w:rPr>
                <w:rFonts w:ascii="Times New Roman" w:hAnsi="Times New Roman" w:cs="Times New Roman"/>
                <w:bCs/>
                <w:sz w:val="24"/>
                <w:szCs w:val="24"/>
                <w:vertAlign w:val="superscript"/>
              </w:rPr>
              <w:t>th</w:t>
            </w:r>
            <w:r w:rsidRPr="002B3739">
              <w:rPr>
                <w:rFonts w:ascii="Times New Roman" w:hAnsi="Times New Roman" w:cs="Times New Roman"/>
                <w:bCs/>
                <w:sz w:val="24"/>
                <w:szCs w:val="24"/>
              </w:rPr>
              <w:t xml:space="preserve"> June, 20</w:t>
            </w:r>
            <w:r>
              <w:rPr>
                <w:rFonts w:ascii="Times New Roman" w:hAnsi="Times New Roman" w:cs="Times New Roman"/>
                <w:bCs/>
                <w:sz w:val="24"/>
                <w:szCs w:val="24"/>
              </w:rPr>
              <w:t>25</w:t>
            </w:r>
          </w:p>
        </w:tc>
      </w:tr>
      <w:tr w:rsidR="000A2E72" w:rsidRPr="002B3739" w14:paraId="71FE6810" w14:textId="77777777" w:rsidTr="00A7008B">
        <w:tc>
          <w:tcPr>
            <w:tcW w:w="6804" w:type="dxa"/>
            <w:shd w:val="clear" w:color="auto" w:fill="FFFFFF" w:themeFill="background1"/>
          </w:tcPr>
          <w:p w14:paraId="41D3068C" w14:textId="77777777"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 xml:space="preserve">Collection, sorting, coding &amp; generation of reports </w:t>
            </w:r>
          </w:p>
        </w:tc>
        <w:tc>
          <w:tcPr>
            <w:tcW w:w="2268" w:type="dxa"/>
            <w:shd w:val="clear" w:color="auto" w:fill="FFFFFF" w:themeFill="background1"/>
          </w:tcPr>
          <w:p w14:paraId="57AF0FCF" w14:textId="25C00A82"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1</w:t>
            </w:r>
            <w:r w:rsidRPr="002B3739">
              <w:rPr>
                <w:rFonts w:ascii="Times New Roman" w:hAnsi="Times New Roman" w:cs="Times New Roman"/>
                <w:bCs/>
                <w:sz w:val="24"/>
                <w:szCs w:val="24"/>
                <w:vertAlign w:val="superscript"/>
              </w:rPr>
              <w:t>st</w:t>
            </w:r>
            <w:r w:rsidRPr="002B3739">
              <w:rPr>
                <w:rFonts w:ascii="Times New Roman" w:hAnsi="Times New Roman" w:cs="Times New Roman"/>
                <w:bCs/>
                <w:sz w:val="24"/>
                <w:szCs w:val="24"/>
              </w:rPr>
              <w:t xml:space="preserve"> July, 20</w:t>
            </w:r>
            <w:r>
              <w:rPr>
                <w:rFonts w:ascii="Times New Roman" w:hAnsi="Times New Roman" w:cs="Times New Roman"/>
                <w:bCs/>
                <w:sz w:val="24"/>
                <w:szCs w:val="24"/>
              </w:rPr>
              <w:t>25</w:t>
            </w:r>
          </w:p>
        </w:tc>
      </w:tr>
      <w:tr w:rsidR="000A2E72" w:rsidRPr="002B3739" w14:paraId="201EC169" w14:textId="77777777" w:rsidTr="00A7008B">
        <w:trPr>
          <w:trHeight w:val="60"/>
        </w:trPr>
        <w:tc>
          <w:tcPr>
            <w:tcW w:w="6804" w:type="dxa"/>
            <w:shd w:val="clear" w:color="auto" w:fill="FFFFFF" w:themeFill="background1"/>
          </w:tcPr>
          <w:p w14:paraId="47EB3548" w14:textId="77777777"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Chapter four - Data presentation, analysis and discussions</w:t>
            </w:r>
          </w:p>
        </w:tc>
        <w:tc>
          <w:tcPr>
            <w:tcW w:w="2268" w:type="dxa"/>
            <w:shd w:val="clear" w:color="auto" w:fill="FFFFFF" w:themeFill="background1"/>
          </w:tcPr>
          <w:p w14:paraId="2567F495" w14:textId="0083FFA8"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30</w:t>
            </w:r>
            <w:r w:rsidRPr="002B3739">
              <w:rPr>
                <w:rFonts w:ascii="Times New Roman" w:hAnsi="Times New Roman" w:cs="Times New Roman"/>
                <w:bCs/>
                <w:sz w:val="24"/>
                <w:szCs w:val="24"/>
                <w:vertAlign w:val="superscript"/>
              </w:rPr>
              <w:t>th</w:t>
            </w:r>
            <w:r w:rsidRPr="002B3739">
              <w:rPr>
                <w:rFonts w:ascii="Times New Roman" w:hAnsi="Times New Roman" w:cs="Times New Roman"/>
                <w:bCs/>
                <w:sz w:val="24"/>
                <w:szCs w:val="24"/>
              </w:rPr>
              <w:t xml:space="preserve"> </w:t>
            </w:r>
            <w:r>
              <w:rPr>
                <w:rFonts w:ascii="Times New Roman" w:hAnsi="Times New Roman" w:cs="Times New Roman"/>
                <w:bCs/>
                <w:sz w:val="24"/>
                <w:szCs w:val="24"/>
              </w:rPr>
              <w:t>A</w:t>
            </w:r>
            <w:r w:rsidRPr="002B3739">
              <w:rPr>
                <w:rFonts w:ascii="Times New Roman" w:hAnsi="Times New Roman" w:cs="Times New Roman"/>
                <w:bCs/>
                <w:sz w:val="24"/>
                <w:szCs w:val="24"/>
              </w:rPr>
              <w:t>ugust, 20</w:t>
            </w:r>
            <w:r w:rsidR="0078625B">
              <w:rPr>
                <w:rFonts w:ascii="Times New Roman" w:hAnsi="Times New Roman" w:cs="Times New Roman"/>
                <w:bCs/>
                <w:sz w:val="24"/>
                <w:szCs w:val="24"/>
              </w:rPr>
              <w:t>25</w:t>
            </w:r>
          </w:p>
        </w:tc>
      </w:tr>
      <w:tr w:rsidR="000A2E72" w:rsidRPr="002B3739" w14:paraId="6157D8A1" w14:textId="77777777" w:rsidTr="00A7008B">
        <w:tc>
          <w:tcPr>
            <w:tcW w:w="6804" w:type="dxa"/>
            <w:shd w:val="clear" w:color="auto" w:fill="auto"/>
          </w:tcPr>
          <w:p w14:paraId="56EEA558" w14:textId="77777777"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Chapter five - Summary of findings, conclusion &amp; recommendation</w:t>
            </w:r>
          </w:p>
        </w:tc>
        <w:tc>
          <w:tcPr>
            <w:tcW w:w="2268" w:type="dxa"/>
            <w:shd w:val="clear" w:color="auto" w:fill="auto"/>
          </w:tcPr>
          <w:p w14:paraId="1C4A16C2" w14:textId="444BDDFB"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5</w:t>
            </w:r>
            <w:r w:rsidRPr="002B3739">
              <w:rPr>
                <w:rFonts w:ascii="Times New Roman" w:hAnsi="Times New Roman" w:cs="Times New Roman"/>
                <w:bCs/>
                <w:sz w:val="24"/>
                <w:szCs w:val="24"/>
                <w:vertAlign w:val="superscript"/>
              </w:rPr>
              <w:t>th</w:t>
            </w:r>
            <w:r w:rsidRPr="002B3739">
              <w:rPr>
                <w:rFonts w:ascii="Times New Roman" w:hAnsi="Times New Roman" w:cs="Times New Roman"/>
                <w:bCs/>
                <w:sz w:val="24"/>
                <w:szCs w:val="24"/>
              </w:rPr>
              <w:t xml:space="preserve"> September, 20</w:t>
            </w:r>
            <w:r w:rsidR="0078625B">
              <w:rPr>
                <w:rFonts w:ascii="Times New Roman" w:hAnsi="Times New Roman" w:cs="Times New Roman"/>
                <w:bCs/>
                <w:sz w:val="24"/>
                <w:szCs w:val="24"/>
              </w:rPr>
              <w:t>25</w:t>
            </w:r>
          </w:p>
        </w:tc>
      </w:tr>
      <w:tr w:rsidR="000A2E72" w:rsidRPr="002B3739" w14:paraId="4E5D2755" w14:textId="77777777" w:rsidTr="00A7008B">
        <w:tc>
          <w:tcPr>
            <w:tcW w:w="6804" w:type="dxa"/>
          </w:tcPr>
          <w:p w14:paraId="021E959F" w14:textId="77777777"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 xml:space="preserve">Appendixes </w:t>
            </w:r>
          </w:p>
        </w:tc>
        <w:tc>
          <w:tcPr>
            <w:tcW w:w="2268" w:type="dxa"/>
          </w:tcPr>
          <w:p w14:paraId="6A5EB546" w14:textId="6058E136"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6</w:t>
            </w:r>
            <w:r w:rsidRPr="002B3739">
              <w:rPr>
                <w:rFonts w:ascii="Times New Roman" w:hAnsi="Times New Roman" w:cs="Times New Roman"/>
                <w:bCs/>
                <w:sz w:val="24"/>
                <w:szCs w:val="24"/>
                <w:vertAlign w:val="superscript"/>
              </w:rPr>
              <w:t>th</w:t>
            </w:r>
            <w:r w:rsidRPr="002B3739">
              <w:rPr>
                <w:rFonts w:ascii="Times New Roman" w:hAnsi="Times New Roman" w:cs="Times New Roman"/>
                <w:bCs/>
                <w:sz w:val="24"/>
                <w:szCs w:val="24"/>
              </w:rPr>
              <w:t xml:space="preserve"> September, 20</w:t>
            </w:r>
            <w:r w:rsidR="0078625B">
              <w:rPr>
                <w:rFonts w:ascii="Times New Roman" w:hAnsi="Times New Roman" w:cs="Times New Roman"/>
                <w:bCs/>
                <w:sz w:val="24"/>
                <w:szCs w:val="24"/>
              </w:rPr>
              <w:t>25</w:t>
            </w:r>
          </w:p>
        </w:tc>
      </w:tr>
      <w:tr w:rsidR="000A2E72" w:rsidRPr="002B3739" w14:paraId="2B2F9224" w14:textId="77777777" w:rsidTr="00A7008B">
        <w:tc>
          <w:tcPr>
            <w:tcW w:w="6804" w:type="dxa"/>
          </w:tcPr>
          <w:p w14:paraId="66BABDBF" w14:textId="77777777"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lastRenderedPageBreak/>
              <w:t xml:space="preserve">Thesis submission </w:t>
            </w:r>
          </w:p>
        </w:tc>
        <w:tc>
          <w:tcPr>
            <w:tcW w:w="2268" w:type="dxa"/>
          </w:tcPr>
          <w:p w14:paraId="250E285F" w14:textId="5FC1C56A" w:rsidR="000A2E72" w:rsidRPr="002B3739" w:rsidRDefault="000A2E72" w:rsidP="00A7008B">
            <w:pPr>
              <w:autoSpaceDE w:val="0"/>
              <w:autoSpaceDN w:val="0"/>
              <w:adjustRightInd w:val="0"/>
              <w:spacing w:before="120" w:after="120"/>
              <w:jc w:val="both"/>
              <w:rPr>
                <w:rFonts w:ascii="Times New Roman" w:hAnsi="Times New Roman" w:cs="Times New Roman"/>
                <w:bCs/>
                <w:sz w:val="24"/>
                <w:szCs w:val="24"/>
              </w:rPr>
            </w:pPr>
            <w:r w:rsidRPr="002B3739">
              <w:rPr>
                <w:rFonts w:ascii="Times New Roman" w:hAnsi="Times New Roman" w:cs="Times New Roman"/>
                <w:bCs/>
                <w:sz w:val="24"/>
                <w:szCs w:val="24"/>
              </w:rPr>
              <w:t>15</w:t>
            </w:r>
            <w:r w:rsidRPr="002B3739">
              <w:rPr>
                <w:rFonts w:ascii="Times New Roman" w:hAnsi="Times New Roman" w:cs="Times New Roman"/>
                <w:bCs/>
                <w:sz w:val="24"/>
                <w:szCs w:val="24"/>
                <w:vertAlign w:val="superscript"/>
              </w:rPr>
              <w:t>th</w:t>
            </w:r>
            <w:r w:rsidRPr="002B3739">
              <w:rPr>
                <w:rFonts w:ascii="Times New Roman" w:hAnsi="Times New Roman" w:cs="Times New Roman"/>
                <w:bCs/>
                <w:sz w:val="24"/>
                <w:szCs w:val="24"/>
              </w:rPr>
              <w:t xml:space="preserve"> September, 20</w:t>
            </w:r>
            <w:r w:rsidR="0078625B">
              <w:rPr>
                <w:rFonts w:ascii="Times New Roman" w:hAnsi="Times New Roman" w:cs="Times New Roman"/>
                <w:bCs/>
                <w:sz w:val="24"/>
                <w:szCs w:val="24"/>
              </w:rPr>
              <w:t>25</w:t>
            </w:r>
          </w:p>
        </w:tc>
      </w:tr>
    </w:tbl>
    <w:p w14:paraId="66583B6D" w14:textId="61ECAE65" w:rsidR="004B5565" w:rsidRDefault="000A2E72" w:rsidP="000A2E72">
      <w:pPr>
        <w:autoSpaceDE w:val="0"/>
        <w:autoSpaceDN w:val="0"/>
        <w:adjustRightInd w:val="0"/>
        <w:spacing w:before="240" w:after="240" w:line="480" w:lineRule="auto"/>
        <w:jc w:val="both"/>
        <w:rPr>
          <w:rFonts w:ascii="Times New Roman" w:eastAsia="Times New Roman" w:hAnsi="Times New Roman" w:cs="Times New Roman"/>
          <w:b/>
          <w:sz w:val="24"/>
          <w:szCs w:val="24"/>
          <w:lang w:val="en-US"/>
        </w:rPr>
      </w:pPr>
      <w:r w:rsidRPr="002B3739">
        <w:rPr>
          <w:rFonts w:ascii="Times New Roman" w:eastAsia="Times New Roman" w:hAnsi="Times New Roman" w:cs="Times New Roman"/>
          <w:b/>
          <w:sz w:val="24"/>
          <w:szCs w:val="24"/>
          <w:lang w:val="en-US"/>
        </w:rPr>
        <w:t>Source: Author’s construct (20</w:t>
      </w:r>
      <w:r w:rsidR="0078625B">
        <w:rPr>
          <w:rFonts w:ascii="Times New Roman" w:eastAsia="Times New Roman" w:hAnsi="Times New Roman" w:cs="Times New Roman"/>
          <w:b/>
          <w:sz w:val="24"/>
          <w:szCs w:val="24"/>
          <w:lang w:val="en-US"/>
        </w:rPr>
        <w:t>25</w:t>
      </w:r>
      <w:r w:rsidRPr="002B3739">
        <w:rPr>
          <w:rFonts w:ascii="Times New Roman" w:eastAsia="Times New Roman" w:hAnsi="Times New Roman" w:cs="Times New Roman"/>
          <w:b/>
          <w:sz w:val="24"/>
          <w:szCs w:val="24"/>
          <w:lang w:val="en-US"/>
        </w:rPr>
        <w:t>)</w:t>
      </w:r>
    </w:p>
    <w:p w14:paraId="0FBBBD87" w14:textId="77777777" w:rsidR="004B5565" w:rsidRDefault="004B5565" w:rsidP="000A2E72">
      <w:pPr>
        <w:autoSpaceDE w:val="0"/>
        <w:autoSpaceDN w:val="0"/>
        <w:adjustRightInd w:val="0"/>
        <w:spacing w:before="240" w:after="240" w:line="480" w:lineRule="auto"/>
        <w:jc w:val="both"/>
        <w:rPr>
          <w:rFonts w:ascii="Times New Roman" w:eastAsia="Times New Roman" w:hAnsi="Times New Roman" w:cs="Times New Roman"/>
          <w:b/>
          <w:sz w:val="24"/>
          <w:szCs w:val="24"/>
          <w:lang w:val="en-US"/>
        </w:rPr>
      </w:pPr>
    </w:p>
    <w:p w14:paraId="0D362AA9" w14:textId="661F5EDF" w:rsidR="004B5565" w:rsidRPr="004B5565" w:rsidRDefault="004B5565" w:rsidP="004B5565">
      <w:pPr>
        <w:pStyle w:val="Heading1"/>
        <w:spacing w:line="480" w:lineRule="auto"/>
        <w:rPr>
          <w:rFonts w:ascii="Times New Roman" w:hAnsi="Times New Roman" w:cs="Times New Roman"/>
          <w:b/>
          <w:bCs/>
          <w:color w:val="auto"/>
          <w:sz w:val="24"/>
          <w:szCs w:val="24"/>
        </w:rPr>
      </w:pPr>
      <w:r w:rsidRPr="004B5565">
        <w:rPr>
          <w:rFonts w:ascii="Times New Roman" w:hAnsi="Times New Roman" w:cs="Times New Roman"/>
          <w:b/>
          <w:bCs/>
          <w:color w:val="auto"/>
          <w:sz w:val="24"/>
          <w:szCs w:val="24"/>
        </w:rPr>
        <w:t>References</w:t>
      </w:r>
    </w:p>
    <w:p w14:paraId="4FFB1E37" w14:textId="5C878539"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Amadi, A. (2021). Integration in a mixed-method case study of construction phenomena: from data to theory. </w:t>
      </w:r>
      <w:r w:rsidRPr="004B5565">
        <w:rPr>
          <w:rFonts w:ascii="Times New Roman" w:hAnsi="Times New Roman" w:cs="Times New Roman"/>
          <w:i/>
          <w:iCs/>
          <w:sz w:val="24"/>
          <w:szCs w:val="24"/>
        </w:rPr>
        <w:t>Engineering, Construction and Architectural Management</w:t>
      </w:r>
      <w:r w:rsidRPr="004B5565">
        <w:rPr>
          <w:rFonts w:ascii="Times New Roman" w:hAnsi="Times New Roman" w:cs="Times New Roman"/>
          <w:sz w:val="24"/>
          <w:szCs w:val="24"/>
        </w:rPr>
        <w:t xml:space="preserve">, </w:t>
      </w:r>
      <w:r w:rsidRPr="004B5565">
        <w:rPr>
          <w:rFonts w:ascii="Times New Roman" w:hAnsi="Times New Roman" w:cs="Times New Roman"/>
          <w:i/>
          <w:iCs/>
          <w:sz w:val="24"/>
          <w:szCs w:val="24"/>
        </w:rPr>
        <w:t>ahead-of-print</w:t>
      </w:r>
      <w:r w:rsidRPr="004B5565">
        <w:rPr>
          <w:rFonts w:ascii="Times New Roman" w:hAnsi="Times New Roman" w:cs="Times New Roman"/>
          <w:sz w:val="24"/>
          <w:szCs w:val="24"/>
        </w:rPr>
        <w:t xml:space="preserve">(ahead-of-print). </w:t>
      </w:r>
      <w:hyperlink r:id="rId7" w:history="1">
        <w:r w:rsidRPr="004B5565">
          <w:rPr>
            <w:rStyle w:val="Hyperlink"/>
            <w:rFonts w:ascii="Times New Roman" w:hAnsi="Times New Roman" w:cs="Times New Roman"/>
            <w:sz w:val="24"/>
            <w:szCs w:val="24"/>
          </w:rPr>
          <w:t>https://doi.org/10.1108/ecam-02-2021-0111</w:t>
        </w:r>
      </w:hyperlink>
    </w:p>
    <w:p w14:paraId="2A1C8A18" w14:textId="560ED158"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Amoah, P., &amp; Eweje, G. (2021). Barriers to environmental sustainability practices of multinational mining companies in Ghana: an institutional complexity perspective. </w:t>
      </w:r>
      <w:r w:rsidRPr="004B5565">
        <w:rPr>
          <w:rFonts w:ascii="Times New Roman" w:hAnsi="Times New Roman" w:cs="Times New Roman"/>
          <w:i/>
          <w:iCs/>
          <w:sz w:val="24"/>
          <w:szCs w:val="24"/>
        </w:rPr>
        <w:t>Corporate Governance: The International Journal of Business in Society</w:t>
      </w:r>
      <w:r w:rsidRPr="004B5565">
        <w:rPr>
          <w:rFonts w:ascii="Times New Roman" w:hAnsi="Times New Roman" w:cs="Times New Roman"/>
          <w:sz w:val="24"/>
          <w:szCs w:val="24"/>
        </w:rPr>
        <w:t xml:space="preserve">, </w:t>
      </w:r>
      <w:r w:rsidRPr="004B5565">
        <w:rPr>
          <w:rFonts w:ascii="Times New Roman" w:hAnsi="Times New Roman" w:cs="Times New Roman"/>
          <w:i/>
          <w:iCs/>
          <w:sz w:val="24"/>
          <w:szCs w:val="24"/>
        </w:rPr>
        <w:t>ahead-of-print</w:t>
      </w:r>
      <w:r w:rsidRPr="004B5565">
        <w:rPr>
          <w:rFonts w:ascii="Times New Roman" w:hAnsi="Times New Roman" w:cs="Times New Roman"/>
          <w:sz w:val="24"/>
          <w:szCs w:val="24"/>
        </w:rPr>
        <w:t xml:space="preserve">(ahead-of-print). </w:t>
      </w:r>
      <w:hyperlink r:id="rId8" w:history="1">
        <w:r w:rsidRPr="004B5565">
          <w:rPr>
            <w:rStyle w:val="Hyperlink"/>
            <w:rFonts w:ascii="Times New Roman" w:hAnsi="Times New Roman" w:cs="Times New Roman"/>
            <w:sz w:val="24"/>
            <w:szCs w:val="24"/>
          </w:rPr>
          <w:t>https://doi.org/10.1108/cg-06-2021-0229</w:t>
        </w:r>
      </w:hyperlink>
    </w:p>
    <w:p w14:paraId="79970084" w14:textId="1181FD8E"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Appiah-Konadu, P., Vincent Korletey Apetorgbor, &amp; Oreva Atanya. (2022). Non-Financial Reporting Regulation and the State of Sustainability Disclosure Among Banks in Sub-Saharan Africa (SSA): A Literature Review on Banks in Ghana and Nigeria. </w:t>
      </w:r>
      <w:r w:rsidRPr="004B5565">
        <w:rPr>
          <w:rFonts w:ascii="Times New Roman" w:hAnsi="Times New Roman" w:cs="Times New Roman"/>
          <w:i/>
          <w:iCs/>
          <w:sz w:val="24"/>
          <w:szCs w:val="24"/>
        </w:rPr>
        <w:t>Springer EBooks</w:t>
      </w:r>
      <w:r w:rsidRPr="004B5565">
        <w:rPr>
          <w:rFonts w:ascii="Times New Roman" w:hAnsi="Times New Roman" w:cs="Times New Roman"/>
          <w:sz w:val="24"/>
          <w:szCs w:val="24"/>
        </w:rPr>
        <w:t xml:space="preserve">, 55–72. </w:t>
      </w:r>
      <w:hyperlink r:id="rId9" w:history="1">
        <w:r w:rsidRPr="004B5565">
          <w:rPr>
            <w:rStyle w:val="Hyperlink"/>
            <w:rFonts w:ascii="Times New Roman" w:hAnsi="Times New Roman" w:cs="Times New Roman"/>
            <w:sz w:val="24"/>
            <w:szCs w:val="24"/>
          </w:rPr>
          <w:t>https://doi.org/10.1007/978-3-031-04923-1_4</w:t>
        </w:r>
      </w:hyperlink>
    </w:p>
    <w:p w14:paraId="42D65F56" w14:textId="42E8E93B"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Bayong, D., Bawuah, B., &amp; Amoah, E. (2024). Advancing environmental, social, and governance disclosure in emerging economies: does regulatory environment and ownership structure matter? </w:t>
      </w:r>
      <w:r w:rsidRPr="004B5565">
        <w:rPr>
          <w:rFonts w:ascii="Times New Roman" w:hAnsi="Times New Roman" w:cs="Times New Roman"/>
          <w:i/>
          <w:iCs/>
          <w:sz w:val="24"/>
          <w:szCs w:val="24"/>
        </w:rPr>
        <w:t>SN Business &amp; Economics</w:t>
      </w:r>
      <w:r w:rsidRPr="004B5565">
        <w:rPr>
          <w:rFonts w:ascii="Times New Roman" w:hAnsi="Times New Roman" w:cs="Times New Roman"/>
          <w:sz w:val="24"/>
          <w:szCs w:val="24"/>
        </w:rPr>
        <w:t xml:space="preserve">, </w:t>
      </w:r>
      <w:r w:rsidRPr="004B5565">
        <w:rPr>
          <w:rFonts w:ascii="Times New Roman" w:hAnsi="Times New Roman" w:cs="Times New Roman"/>
          <w:i/>
          <w:iCs/>
          <w:sz w:val="24"/>
          <w:szCs w:val="24"/>
        </w:rPr>
        <w:t>5</w:t>
      </w:r>
      <w:r w:rsidRPr="004B5565">
        <w:rPr>
          <w:rFonts w:ascii="Times New Roman" w:hAnsi="Times New Roman" w:cs="Times New Roman"/>
          <w:sz w:val="24"/>
          <w:szCs w:val="24"/>
        </w:rPr>
        <w:t xml:space="preserve">(1). </w:t>
      </w:r>
      <w:hyperlink r:id="rId10" w:history="1">
        <w:r w:rsidRPr="004B5565">
          <w:rPr>
            <w:rStyle w:val="Hyperlink"/>
            <w:rFonts w:ascii="Times New Roman" w:hAnsi="Times New Roman" w:cs="Times New Roman"/>
            <w:sz w:val="24"/>
            <w:szCs w:val="24"/>
          </w:rPr>
          <w:t>https://doi.org/10.1007/s43546-024-00766-8</w:t>
        </w:r>
      </w:hyperlink>
    </w:p>
    <w:p w14:paraId="62AF3109" w14:textId="7C48628F"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Carl, K. (2023). Climate Change Reporting among Mining Firms in Africa. </w:t>
      </w:r>
      <w:r w:rsidRPr="004B5565">
        <w:rPr>
          <w:rFonts w:ascii="Times New Roman" w:hAnsi="Times New Roman" w:cs="Times New Roman"/>
          <w:i/>
          <w:iCs/>
          <w:sz w:val="24"/>
          <w:szCs w:val="24"/>
        </w:rPr>
        <w:t>Routledge EBooks</w:t>
      </w:r>
      <w:r w:rsidRPr="004B5565">
        <w:rPr>
          <w:rFonts w:ascii="Times New Roman" w:hAnsi="Times New Roman" w:cs="Times New Roman"/>
          <w:sz w:val="24"/>
          <w:szCs w:val="24"/>
        </w:rPr>
        <w:t xml:space="preserve">, 245–274. </w:t>
      </w:r>
      <w:hyperlink r:id="rId11" w:history="1">
        <w:r w:rsidRPr="004B5565">
          <w:rPr>
            <w:rStyle w:val="Hyperlink"/>
            <w:rFonts w:ascii="Times New Roman" w:hAnsi="Times New Roman" w:cs="Times New Roman"/>
            <w:sz w:val="24"/>
            <w:szCs w:val="24"/>
          </w:rPr>
          <w:t>https://doi.org/10.4324/9781003284437-14</w:t>
        </w:r>
      </w:hyperlink>
    </w:p>
    <w:p w14:paraId="75F90E1E" w14:textId="77777777"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lastRenderedPageBreak/>
        <w:t xml:space="preserve">Doku, J. N., Abdul-Razak Borowa, H., Mohammed, I., &amp; Attah-Botchwey, E. (2023). Impact of corporate board size and board independence on stock returns volatility in Ghana. </w:t>
      </w:r>
      <w:r w:rsidRPr="004B5565">
        <w:rPr>
          <w:rFonts w:ascii="Times New Roman" w:hAnsi="Times New Roman" w:cs="Times New Roman"/>
          <w:i/>
          <w:iCs/>
          <w:sz w:val="24"/>
          <w:szCs w:val="24"/>
        </w:rPr>
        <w:t>Cogent Business &amp; Management</w:t>
      </w:r>
      <w:r w:rsidRPr="004B5565">
        <w:rPr>
          <w:rFonts w:ascii="Times New Roman" w:hAnsi="Times New Roman" w:cs="Times New Roman"/>
          <w:sz w:val="24"/>
          <w:szCs w:val="24"/>
        </w:rPr>
        <w:t xml:space="preserve">, </w:t>
      </w:r>
      <w:r w:rsidRPr="004B5565">
        <w:rPr>
          <w:rFonts w:ascii="Times New Roman" w:hAnsi="Times New Roman" w:cs="Times New Roman"/>
          <w:i/>
          <w:iCs/>
          <w:sz w:val="24"/>
          <w:szCs w:val="24"/>
        </w:rPr>
        <w:t>10</w:t>
      </w:r>
      <w:r w:rsidRPr="004B5565">
        <w:rPr>
          <w:rFonts w:ascii="Times New Roman" w:hAnsi="Times New Roman" w:cs="Times New Roman"/>
          <w:sz w:val="24"/>
          <w:szCs w:val="24"/>
        </w:rPr>
        <w:t xml:space="preserve">(2). </w:t>
      </w:r>
      <w:hyperlink r:id="rId12" w:history="1">
        <w:r w:rsidRPr="004B5565">
          <w:rPr>
            <w:rStyle w:val="Hyperlink"/>
            <w:rFonts w:ascii="Times New Roman" w:hAnsi="Times New Roman" w:cs="Times New Roman"/>
            <w:sz w:val="24"/>
            <w:szCs w:val="24"/>
          </w:rPr>
          <w:t>https://doi.org/10.1080/23311975.2023.2204597</w:t>
        </w:r>
      </w:hyperlink>
    </w:p>
    <w:p w14:paraId="6E9F8BA8" w14:textId="77777777" w:rsidR="004B5565" w:rsidRPr="004B5565" w:rsidRDefault="004B5565" w:rsidP="004B5565">
      <w:pPr>
        <w:spacing w:line="480" w:lineRule="auto"/>
        <w:jc w:val="both"/>
        <w:rPr>
          <w:rFonts w:ascii="Times New Roman" w:hAnsi="Times New Roman" w:cs="Times New Roman"/>
          <w:sz w:val="24"/>
          <w:szCs w:val="24"/>
        </w:rPr>
      </w:pPr>
    </w:p>
    <w:p w14:paraId="7BF59202" w14:textId="7FF9F7E3"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Hossain, M. Z., Hasan, L., &amp; Hasan, M. H. (2024). Corporate Governance as a Global Phenomenon: Evolution, Theoretical Foundations, and Practical Implications. </w:t>
      </w:r>
      <w:r w:rsidRPr="004B5565">
        <w:rPr>
          <w:rFonts w:ascii="Times New Roman" w:hAnsi="Times New Roman" w:cs="Times New Roman"/>
          <w:i/>
          <w:iCs/>
          <w:sz w:val="24"/>
          <w:szCs w:val="24"/>
        </w:rPr>
        <w:t>Journal of Financial Risk Management</w:t>
      </w:r>
      <w:r w:rsidRPr="004B5565">
        <w:rPr>
          <w:rFonts w:ascii="Times New Roman" w:hAnsi="Times New Roman" w:cs="Times New Roman"/>
          <w:sz w:val="24"/>
          <w:szCs w:val="24"/>
        </w:rPr>
        <w:t xml:space="preserve">, </w:t>
      </w:r>
      <w:r w:rsidRPr="004B5565">
        <w:rPr>
          <w:rFonts w:ascii="Times New Roman" w:hAnsi="Times New Roman" w:cs="Times New Roman"/>
          <w:i/>
          <w:iCs/>
          <w:sz w:val="24"/>
          <w:szCs w:val="24"/>
        </w:rPr>
        <w:t>13</w:t>
      </w:r>
      <w:r w:rsidRPr="004B5565">
        <w:rPr>
          <w:rFonts w:ascii="Times New Roman" w:hAnsi="Times New Roman" w:cs="Times New Roman"/>
          <w:sz w:val="24"/>
          <w:szCs w:val="24"/>
        </w:rPr>
        <w:t xml:space="preserve">(2), 342–375. </w:t>
      </w:r>
      <w:hyperlink r:id="rId13" w:history="1">
        <w:r w:rsidRPr="004B5565">
          <w:rPr>
            <w:rStyle w:val="Hyperlink"/>
            <w:rFonts w:ascii="Times New Roman" w:hAnsi="Times New Roman" w:cs="Times New Roman"/>
            <w:sz w:val="24"/>
            <w:szCs w:val="24"/>
          </w:rPr>
          <w:t>https://doi.org/10.4236/jfrm.2024.132017</w:t>
        </w:r>
      </w:hyperlink>
    </w:p>
    <w:p w14:paraId="74461878" w14:textId="33A7CE0E"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Islam, M. A. (2023). Environmental Accounting. </w:t>
      </w:r>
      <w:r w:rsidRPr="004B5565">
        <w:rPr>
          <w:rFonts w:ascii="Times New Roman" w:hAnsi="Times New Roman" w:cs="Times New Roman"/>
          <w:i/>
          <w:iCs/>
          <w:sz w:val="24"/>
          <w:szCs w:val="24"/>
        </w:rPr>
        <w:t>Springer EBooks</w:t>
      </w:r>
      <w:r w:rsidRPr="004B5565">
        <w:rPr>
          <w:rFonts w:ascii="Times New Roman" w:hAnsi="Times New Roman" w:cs="Times New Roman"/>
          <w:sz w:val="24"/>
          <w:szCs w:val="24"/>
        </w:rPr>
        <w:t xml:space="preserve">, 651–653. </w:t>
      </w:r>
      <w:hyperlink r:id="rId14" w:history="1">
        <w:r w:rsidRPr="004B5565">
          <w:rPr>
            <w:rStyle w:val="Hyperlink"/>
            <w:rFonts w:ascii="Times New Roman" w:hAnsi="Times New Roman" w:cs="Times New Roman"/>
            <w:sz w:val="24"/>
            <w:szCs w:val="24"/>
          </w:rPr>
          <w:t>https://doi.org/10.1007/978-3-030-22767-8_215</w:t>
        </w:r>
      </w:hyperlink>
    </w:p>
    <w:p w14:paraId="7D72F8B0" w14:textId="72BD1081"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Johansson, E., &amp; Winge, E. (2023). </w:t>
      </w:r>
      <w:r w:rsidRPr="004B5565">
        <w:rPr>
          <w:rFonts w:ascii="Times New Roman" w:hAnsi="Times New Roman" w:cs="Times New Roman"/>
          <w:i/>
          <w:iCs/>
          <w:sz w:val="24"/>
          <w:szCs w:val="24"/>
        </w:rPr>
        <w:t>Barriers and Motivational Drivers for Sustainable Building in a Developing Country: The Case of Ghana</w:t>
      </w:r>
      <w:r w:rsidRPr="004B5565">
        <w:rPr>
          <w:rFonts w:ascii="Times New Roman" w:hAnsi="Times New Roman" w:cs="Times New Roman"/>
          <w:sz w:val="24"/>
          <w:szCs w:val="24"/>
        </w:rPr>
        <w:t xml:space="preserve">. DIVA. </w:t>
      </w:r>
      <w:hyperlink r:id="rId15" w:history="1">
        <w:r w:rsidRPr="004B5565">
          <w:rPr>
            <w:rStyle w:val="Hyperlink"/>
            <w:rFonts w:ascii="Times New Roman" w:hAnsi="Times New Roman" w:cs="Times New Roman"/>
            <w:sz w:val="24"/>
            <w:szCs w:val="24"/>
          </w:rPr>
          <w:t>https://www.diva-portal.org/smash/record.jsf?pid=diva2%3A1777877&amp;dswid=2247</w:t>
        </w:r>
      </w:hyperlink>
    </w:p>
    <w:p w14:paraId="39B1E6C1" w14:textId="5A2F1CD2"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Juusola, K., &amp; Srouji, R. (2022). Challenges associated with sustainability accounting and reporting practices: a legitimacy perspective. </w:t>
      </w:r>
      <w:r w:rsidRPr="004B5565">
        <w:rPr>
          <w:rFonts w:ascii="Times New Roman" w:hAnsi="Times New Roman" w:cs="Times New Roman"/>
          <w:i/>
          <w:iCs/>
          <w:sz w:val="24"/>
          <w:szCs w:val="24"/>
        </w:rPr>
        <w:t>International Journal of Law and Management</w:t>
      </w:r>
      <w:r w:rsidRPr="004B5565">
        <w:rPr>
          <w:rFonts w:ascii="Times New Roman" w:hAnsi="Times New Roman" w:cs="Times New Roman"/>
          <w:sz w:val="24"/>
          <w:szCs w:val="24"/>
        </w:rPr>
        <w:t xml:space="preserve">. </w:t>
      </w:r>
      <w:hyperlink r:id="rId16" w:history="1">
        <w:r w:rsidRPr="004B5565">
          <w:rPr>
            <w:rStyle w:val="Hyperlink"/>
            <w:rFonts w:ascii="Times New Roman" w:hAnsi="Times New Roman" w:cs="Times New Roman"/>
            <w:sz w:val="24"/>
            <w:szCs w:val="24"/>
          </w:rPr>
          <w:t>https://doi.org/10.1108/ijlma-06-2022-0113</w:t>
        </w:r>
      </w:hyperlink>
    </w:p>
    <w:p w14:paraId="67B344DB" w14:textId="5C719D26"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Moses, E., Che-Ahmad, A., &amp; Abdulmalik, S. O. (2020). Board governance mechanisms and sustainability reporting quality: A theoretical framework. </w:t>
      </w:r>
      <w:r w:rsidRPr="004B5565">
        <w:rPr>
          <w:rFonts w:ascii="Times New Roman" w:hAnsi="Times New Roman" w:cs="Times New Roman"/>
          <w:i/>
          <w:iCs/>
          <w:sz w:val="24"/>
          <w:szCs w:val="24"/>
        </w:rPr>
        <w:t>Cogent Business &amp; Management</w:t>
      </w:r>
      <w:r w:rsidRPr="004B5565">
        <w:rPr>
          <w:rFonts w:ascii="Times New Roman" w:hAnsi="Times New Roman" w:cs="Times New Roman"/>
          <w:sz w:val="24"/>
          <w:szCs w:val="24"/>
        </w:rPr>
        <w:t xml:space="preserve">, </w:t>
      </w:r>
      <w:r w:rsidRPr="004B5565">
        <w:rPr>
          <w:rFonts w:ascii="Times New Roman" w:hAnsi="Times New Roman" w:cs="Times New Roman"/>
          <w:i/>
          <w:iCs/>
          <w:sz w:val="24"/>
          <w:szCs w:val="24"/>
        </w:rPr>
        <w:t>7</w:t>
      </w:r>
      <w:r w:rsidRPr="004B5565">
        <w:rPr>
          <w:rFonts w:ascii="Times New Roman" w:hAnsi="Times New Roman" w:cs="Times New Roman"/>
          <w:sz w:val="24"/>
          <w:szCs w:val="24"/>
        </w:rPr>
        <w:t xml:space="preserve">(1). </w:t>
      </w:r>
      <w:hyperlink r:id="rId17" w:history="1">
        <w:r w:rsidRPr="004B5565">
          <w:rPr>
            <w:rStyle w:val="Hyperlink"/>
            <w:rFonts w:ascii="Times New Roman" w:hAnsi="Times New Roman" w:cs="Times New Roman"/>
            <w:sz w:val="24"/>
            <w:szCs w:val="24"/>
          </w:rPr>
          <w:t>https://doi.org/10.1080/23311975.2020.1771075</w:t>
        </w:r>
      </w:hyperlink>
    </w:p>
    <w:p w14:paraId="480BA40C" w14:textId="0DA6941F"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Saeed, U. F., Kamil, R., &amp; Ishmael Wiredu. (2024). The moderating role of technological innovation on ownership structure, financing decisions and environmental accounting disclosure. </w:t>
      </w:r>
      <w:r w:rsidRPr="004B5565">
        <w:rPr>
          <w:rFonts w:ascii="Times New Roman" w:hAnsi="Times New Roman" w:cs="Times New Roman"/>
          <w:i/>
          <w:iCs/>
          <w:sz w:val="24"/>
          <w:szCs w:val="24"/>
        </w:rPr>
        <w:t>Cogent Business &amp; Management</w:t>
      </w:r>
      <w:r w:rsidRPr="004B5565">
        <w:rPr>
          <w:rFonts w:ascii="Times New Roman" w:hAnsi="Times New Roman" w:cs="Times New Roman"/>
          <w:sz w:val="24"/>
          <w:szCs w:val="24"/>
        </w:rPr>
        <w:t xml:space="preserve">, </w:t>
      </w:r>
      <w:r w:rsidRPr="004B5565">
        <w:rPr>
          <w:rFonts w:ascii="Times New Roman" w:hAnsi="Times New Roman" w:cs="Times New Roman"/>
          <w:i/>
          <w:iCs/>
          <w:sz w:val="24"/>
          <w:szCs w:val="24"/>
        </w:rPr>
        <w:t>11</w:t>
      </w:r>
      <w:r w:rsidRPr="004B5565">
        <w:rPr>
          <w:rFonts w:ascii="Times New Roman" w:hAnsi="Times New Roman" w:cs="Times New Roman"/>
          <w:sz w:val="24"/>
          <w:szCs w:val="24"/>
        </w:rPr>
        <w:t xml:space="preserve">(1). </w:t>
      </w:r>
      <w:hyperlink r:id="rId18" w:history="1">
        <w:r w:rsidRPr="004B5565">
          <w:rPr>
            <w:rStyle w:val="Hyperlink"/>
            <w:rFonts w:ascii="Times New Roman" w:hAnsi="Times New Roman" w:cs="Times New Roman"/>
            <w:sz w:val="24"/>
            <w:szCs w:val="24"/>
          </w:rPr>
          <w:t>https://doi.org/10.1080/23311975.2024.2396543</w:t>
        </w:r>
      </w:hyperlink>
    </w:p>
    <w:p w14:paraId="21B58307" w14:textId="3BB2F754"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lastRenderedPageBreak/>
        <w:t xml:space="preserve">Simpson, S. N. Y., Aboagye-Otchere, F., &amp; Ahadzie, R. (2021). Assurance of environmental, social and governance disclosures in a developing country: perspectives of regulators and quasi-regulators. </w:t>
      </w:r>
      <w:r w:rsidRPr="004B5565">
        <w:rPr>
          <w:rFonts w:ascii="Times New Roman" w:hAnsi="Times New Roman" w:cs="Times New Roman"/>
          <w:i/>
          <w:iCs/>
          <w:sz w:val="24"/>
          <w:szCs w:val="24"/>
        </w:rPr>
        <w:t>Accounting Forum</w:t>
      </w:r>
      <w:r w:rsidRPr="004B5565">
        <w:rPr>
          <w:rFonts w:ascii="Times New Roman" w:hAnsi="Times New Roman" w:cs="Times New Roman"/>
          <w:sz w:val="24"/>
          <w:szCs w:val="24"/>
        </w:rPr>
        <w:t xml:space="preserve">, 1–25. </w:t>
      </w:r>
      <w:hyperlink r:id="rId19" w:history="1">
        <w:r w:rsidRPr="004B5565">
          <w:rPr>
            <w:rStyle w:val="Hyperlink"/>
            <w:rFonts w:ascii="Times New Roman" w:hAnsi="Times New Roman" w:cs="Times New Roman"/>
            <w:sz w:val="24"/>
            <w:szCs w:val="24"/>
          </w:rPr>
          <w:t>https://doi.org/10.1080/01559982.2021.1927481</w:t>
        </w:r>
      </w:hyperlink>
    </w:p>
    <w:p w14:paraId="3D7260F7" w14:textId="77777777" w:rsidR="004B5565" w:rsidRPr="004B5565" w:rsidRDefault="004B5565" w:rsidP="004B5565">
      <w:pPr>
        <w:spacing w:line="480" w:lineRule="auto"/>
        <w:jc w:val="both"/>
        <w:rPr>
          <w:rFonts w:ascii="Times New Roman" w:hAnsi="Times New Roman" w:cs="Times New Roman"/>
          <w:sz w:val="24"/>
          <w:szCs w:val="24"/>
        </w:rPr>
      </w:pPr>
      <w:r w:rsidRPr="004B5565">
        <w:rPr>
          <w:rFonts w:ascii="Times New Roman" w:hAnsi="Times New Roman" w:cs="Times New Roman"/>
          <w:sz w:val="24"/>
          <w:szCs w:val="24"/>
        </w:rPr>
        <w:t xml:space="preserve">Tawiah, R. K. (2023). </w:t>
      </w:r>
      <w:r w:rsidRPr="004B5565">
        <w:rPr>
          <w:rFonts w:ascii="Times New Roman" w:hAnsi="Times New Roman" w:cs="Times New Roman"/>
          <w:i/>
          <w:iCs/>
          <w:sz w:val="24"/>
          <w:szCs w:val="24"/>
        </w:rPr>
        <w:t>Value-added and sustainability reporting: leveraging on conventional accounting practices for accountability and information decision usefulness – a case study of South Africa</w:t>
      </w:r>
      <w:r w:rsidRPr="004B5565">
        <w:rPr>
          <w:rFonts w:ascii="Times New Roman" w:hAnsi="Times New Roman" w:cs="Times New Roman"/>
          <w:sz w:val="24"/>
          <w:szCs w:val="24"/>
        </w:rPr>
        <w:t xml:space="preserve">. Stax.strath.ac.uk. </w:t>
      </w:r>
      <w:hyperlink r:id="rId20" w:history="1">
        <w:r w:rsidRPr="004B5565">
          <w:rPr>
            <w:rStyle w:val="Hyperlink"/>
            <w:rFonts w:ascii="Times New Roman" w:hAnsi="Times New Roman" w:cs="Times New Roman"/>
            <w:sz w:val="24"/>
            <w:szCs w:val="24"/>
          </w:rPr>
          <w:t>https://stax.strath.ac.uk/concern/theses/1c18dg459</w:t>
        </w:r>
      </w:hyperlink>
    </w:p>
    <w:p w14:paraId="0F76F956" w14:textId="53D1C022" w:rsidR="004B5565" w:rsidRDefault="004B5565" w:rsidP="004B5565">
      <w:pPr>
        <w:pStyle w:val="NoSpacing"/>
      </w:pPr>
    </w:p>
    <w:sectPr w:rsidR="004B5565" w:rsidSect="006E7EA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BDA4C" w14:textId="77777777" w:rsidR="00C51921" w:rsidRDefault="00C51921" w:rsidP="000A2E72">
      <w:pPr>
        <w:spacing w:after="0" w:line="240" w:lineRule="auto"/>
      </w:pPr>
      <w:r>
        <w:separator/>
      </w:r>
    </w:p>
  </w:endnote>
  <w:endnote w:type="continuationSeparator" w:id="0">
    <w:p w14:paraId="28B6923A" w14:textId="77777777" w:rsidR="00C51921" w:rsidRDefault="00C51921" w:rsidP="000A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8200302"/>
      <w:docPartObj>
        <w:docPartGallery w:val="Page Numbers (Bottom of Page)"/>
        <w:docPartUnique/>
      </w:docPartObj>
    </w:sdtPr>
    <w:sdtEndPr>
      <w:rPr>
        <w:noProof/>
      </w:rPr>
    </w:sdtEndPr>
    <w:sdtContent>
      <w:p w14:paraId="29903268" w14:textId="77777777" w:rsidR="00000000" w:rsidRDefault="0000000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BEA7EE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D8A91" w14:textId="77777777" w:rsidR="00C51921" w:rsidRDefault="00C51921" w:rsidP="000A2E72">
      <w:pPr>
        <w:spacing w:after="0" w:line="240" w:lineRule="auto"/>
      </w:pPr>
      <w:r>
        <w:separator/>
      </w:r>
    </w:p>
  </w:footnote>
  <w:footnote w:type="continuationSeparator" w:id="0">
    <w:p w14:paraId="37C89771" w14:textId="77777777" w:rsidR="00C51921" w:rsidRDefault="00C51921" w:rsidP="000A2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4825A" w14:textId="29BFF791" w:rsidR="000A2E72" w:rsidRDefault="000A2E72">
    <w:pPr>
      <w:pStyle w:val="Header"/>
      <w:jc w:val="right"/>
    </w:pPr>
  </w:p>
  <w:p w14:paraId="3E377CEB" w14:textId="77777777" w:rsidR="000A2E72" w:rsidRDefault="000A2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644137"/>
    <w:multiLevelType w:val="hybridMultilevel"/>
    <w:tmpl w:val="27AEB1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A45C48"/>
    <w:multiLevelType w:val="hybridMultilevel"/>
    <w:tmpl w:val="25300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536303">
    <w:abstractNumId w:val="0"/>
  </w:num>
  <w:num w:numId="2" w16cid:durableId="300035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5D"/>
    <w:rsid w:val="0000355D"/>
    <w:rsid w:val="000A2E72"/>
    <w:rsid w:val="003E5A71"/>
    <w:rsid w:val="00445ACA"/>
    <w:rsid w:val="0047058F"/>
    <w:rsid w:val="004B5565"/>
    <w:rsid w:val="005C2D08"/>
    <w:rsid w:val="006E7EA3"/>
    <w:rsid w:val="007615BE"/>
    <w:rsid w:val="0078625B"/>
    <w:rsid w:val="00865695"/>
    <w:rsid w:val="009F538D"/>
    <w:rsid w:val="00AD6E74"/>
    <w:rsid w:val="00C0280B"/>
    <w:rsid w:val="00C51921"/>
    <w:rsid w:val="00DD0930"/>
    <w:rsid w:val="00F2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AF7F"/>
  <w15:chartTrackingRefBased/>
  <w15:docId w15:val="{16E58CAE-D029-4EB6-B5A1-85C85865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5D"/>
    <w:pPr>
      <w:spacing w:after="200" w:line="276" w:lineRule="auto"/>
    </w:pPr>
    <w:rPr>
      <w:kern w:val="0"/>
      <w:sz w:val="22"/>
      <w:szCs w:val="22"/>
      <w:lang w:val="en-GB"/>
      <w14:ligatures w14:val="none"/>
    </w:rPr>
  </w:style>
  <w:style w:type="paragraph" w:styleId="Heading1">
    <w:name w:val="heading 1"/>
    <w:basedOn w:val="Normal"/>
    <w:next w:val="Normal"/>
    <w:link w:val="Heading1Char"/>
    <w:uiPriority w:val="9"/>
    <w:qFormat/>
    <w:rsid w:val="000035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035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35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35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35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3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5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035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35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35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35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3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55D"/>
    <w:rPr>
      <w:rFonts w:eastAsiaTheme="majorEastAsia" w:cstheme="majorBidi"/>
      <w:color w:val="272727" w:themeColor="text1" w:themeTint="D8"/>
    </w:rPr>
  </w:style>
  <w:style w:type="paragraph" w:styleId="Title">
    <w:name w:val="Title"/>
    <w:basedOn w:val="Normal"/>
    <w:next w:val="Normal"/>
    <w:link w:val="TitleChar"/>
    <w:uiPriority w:val="10"/>
    <w:qFormat/>
    <w:rsid w:val="00003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55D"/>
    <w:pPr>
      <w:spacing w:before="160"/>
      <w:jc w:val="center"/>
    </w:pPr>
    <w:rPr>
      <w:i/>
      <w:iCs/>
      <w:color w:val="404040" w:themeColor="text1" w:themeTint="BF"/>
    </w:rPr>
  </w:style>
  <w:style w:type="character" w:customStyle="1" w:styleId="QuoteChar">
    <w:name w:val="Quote Char"/>
    <w:basedOn w:val="DefaultParagraphFont"/>
    <w:link w:val="Quote"/>
    <w:uiPriority w:val="29"/>
    <w:rsid w:val="0000355D"/>
    <w:rPr>
      <w:i/>
      <w:iCs/>
      <w:color w:val="404040" w:themeColor="text1" w:themeTint="BF"/>
    </w:rPr>
  </w:style>
  <w:style w:type="paragraph" w:styleId="ListParagraph">
    <w:name w:val="List Paragraph"/>
    <w:basedOn w:val="Normal"/>
    <w:uiPriority w:val="34"/>
    <w:qFormat/>
    <w:rsid w:val="0000355D"/>
    <w:pPr>
      <w:ind w:left="720"/>
      <w:contextualSpacing/>
    </w:pPr>
  </w:style>
  <w:style w:type="character" w:styleId="IntenseEmphasis">
    <w:name w:val="Intense Emphasis"/>
    <w:basedOn w:val="DefaultParagraphFont"/>
    <w:uiPriority w:val="21"/>
    <w:qFormat/>
    <w:rsid w:val="0000355D"/>
    <w:rPr>
      <w:i/>
      <w:iCs/>
      <w:color w:val="2F5496" w:themeColor="accent1" w:themeShade="BF"/>
    </w:rPr>
  </w:style>
  <w:style w:type="paragraph" w:styleId="IntenseQuote">
    <w:name w:val="Intense Quote"/>
    <w:basedOn w:val="Normal"/>
    <w:next w:val="Normal"/>
    <w:link w:val="IntenseQuoteChar"/>
    <w:uiPriority w:val="30"/>
    <w:qFormat/>
    <w:rsid w:val="000035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355D"/>
    <w:rPr>
      <w:i/>
      <w:iCs/>
      <w:color w:val="2F5496" w:themeColor="accent1" w:themeShade="BF"/>
    </w:rPr>
  </w:style>
  <w:style w:type="character" w:styleId="IntenseReference">
    <w:name w:val="Intense Reference"/>
    <w:basedOn w:val="DefaultParagraphFont"/>
    <w:uiPriority w:val="32"/>
    <w:qFormat/>
    <w:rsid w:val="0000355D"/>
    <w:rPr>
      <w:b/>
      <w:bCs/>
      <w:smallCaps/>
      <w:color w:val="2F5496" w:themeColor="accent1" w:themeShade="BF"/>
      <w:spacing w:val="5"/>
    </w:rPr>
  </w:style>
  <w:style w:type="paragraph" w:styleId="Footer">
    <w:name w:val="footer"/>
    <w:basedOn w:val="Normal"/>
    <w:link w:val="FooterChar"/>
    <w:uiPriority w:val="99"/>
    <w:unhideWhenUsed/>
    <w:rsid w:val="00003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55D"/>
    <w:rPr>
      <w:kern w:val="0"/>
      <w:sz w:val="22"/>
      <w:szCs w:val="22"/>
      <w:lang w:val="en-GB"/>
      <w14:ligatures w14:val="none"/>
    </w:rPr>
  </w:style>
  <w:style w:type="paragraph" w:styleId="Header">
    <w:name w:val="header"/>
    <w:basedOn w:val="Normal"/>
    <w:link w:val="HeaderChar"/>
    <w:uiPriority w:val="99"/>
    <w:unhideWhenUsed/>
    <w:rsid w:val="000A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E72"/>
    <w:rPr>
      <w:kern w:val="0"/>
      <w:sz w:val="22"/>
      <w:szCs w:val="22"/>
      <w:lang w:val="en-GB"/>
      <w14:ligatures w14:val="none"/>
    </w:rPr>
  </w:style>
  <w:style w:type="table" w:styleId="TableGrid">
    <w:name w:val="Table Grid"/>
    <w:basedOn w:val="TableNormal"/>
    <w:uiPriority w:val="39"/>
    <w:rsid w:val="000A2E72"/>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B5565"/>
    <w:rPr>
      <w:color w:val="0563C1" w:themeColor="hyperlink"/>
      <w:u w:val="single"/>
    </w:rPr>
  </w:style>
  <w:style w:type="paragraph" w:styleId="NoSpacing">
    <w:name w:val="No Spacing"/>
    <w:uiPriority w:val="1"/>
    <w:qFormat/>
    <w:rsid w:val="004B5565"/>
    <w:pPr>
      <w:spacing w:after="0" w:line="240" w:lineRule="auto"/>
    </w:pPr>
    <w:rPr>
      <w:kern w:val="0"/>
      <w:sz w:val="22"/>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983274">
      <w:bodyDiv w:val="1"/>
      <w:marLeft w:val="0"/>
      <w:marRight w:val="0"/>
      <w:marTop w:val="0"/>
      <w:marBottom w:val="0"/>
      <w:divBdr>
        <w:top w:val="none" w:sz="0" w:space="0" w:color="auto"/>
        <w:left w:val="none" w:sz="0" w:space="0" w:color="auto"/>
        <w:bottom w:val="none" w:sz="0" w:space="0" w:color="auto"/>
        <w:right w:val="none" w:sz="0" w:space="0" w:color="auto"/>
      </w:divBdr>
    </w:div>
    <w:div w:id="90014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cg-06-2021-0229" TargetMode="External"/><Relationship Id="rId13" Type="http://schemas.openxmlformats.org/officeDocument/2006/relationships/hyperlink" Target="https://doi.org/10.4236/jfrm.2024.132017" TargetMode="External"/><Relationship Id="rId18" Type="http://schemas.openxmlformats.org/officeDocument/2006/relationships/hyperlink" Target="https://doi.org/10.1080/23311975.2024.2396543"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i.org/10.1108/ecam-02-2021-0111" TargetMode="External"/><Relationship Id="rId12" Type="http://schemas.openxmlformats.org/officeDocument/2006/relationships/hyperlink" Target="https://doi.org/10.1080/23311975.2023.2204597" TargetMode="External"/><Relationship Id="rId17" Type="http://schemas.openxmlformats.org/officeDocument/2006/relationships/hyperlink" Target="https://doi.org/10.1080/23311975.2020.1771075" TargetMode="External"/><Relationship Id="rId2" Type="http://schemas.openxmlformats.org/officeDocument/2006/relationships/styles" Target="styles.xml"/><Relationship Id="rId16" Type="http://schemas.openxmlformats.org/officeDocument/2006/relationships/hyperlink" Target="https://doi.org/10.1108/ijlma-06-2022-0113" TargetMode="External"/><Relationship Id="rId20" Type="http://schemas.openxmlformats.org/officeDocument/2006/relationships/hyperlink" Target="https://stax.strath.ac.uk/concern/theses/1c18dg4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324/9781003284437-1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iva-portal.org/smash/record.jsf?pid=diva2%3A1777877&amp;dswid=2247" TargetMode="External"/><Relationship Id="rId23" Type="http://schemas.openxmlformats.org/officeDocument/2006/relationships/fontTable" Target="fontTable.xml"/><Relationship Id="rId10" Type="http://schemas.openxmlformats.org/officeDocument/2006/relationships/hyperlink" Target="https://doi.org/10.1007/s43546-024-00766-8" TargetMode="External"/><Relationship Id="rId19" Type="http://schemas.openxmlformats.org/officeDocument/2006/relationships/hyperlink" Target="https://doi.org/10.1080/01559982.2021.1927481" TargetMode="External"/><Relationship Id="rId4" Type="http://schemas.openxmlformats.org/officeDocument/2006/relationships/webSettings" Target="webSettings.xml"/><Relationship Id="rId9" Type="http://schemas.openxmlformats.org/officeDocument/2006/relationships/hyperlink" Target="https://doi.org/10.1007/978-3-031-04923-1_4" TargetMode="External"/><Relationship Id="rId14" Type="http://schemas.openxmlformats.org/officeDocument/2006/relationships/hyperlink" Target="https://doi.org/10.1007/978-3-030-22767-8_215"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2025-03-14T18:48:00Z</dcterms:created>
  <dcterms:modified xsi:type="dcterms:W3CDTF">2025-03-14T19:56:00Z</dcterms:modified>
</cp:coreProperties>
</file>