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eastAsia="TH Sarabun New"/>
          <w:b/>
          <w:sz w:val="40"/>
        </w:rPr>
        <w:t>ตารางตรวจสอบสถานะแหล่งอ้างอิงของระบบ Smart Matching</w:t>
      </w:r>
    </w:p>
    <w:p>
      <w:pPr>
        <w:spacing w:after="160"/>
      </w:pPr>
      <w:r>
        <w:t>เอกสารนี้แยกระหว่าง (1) แนวคิดหรือวิธีคำนวณที่มีเอกสารวิชาการรองรับ และ (2) ค่าพารามิเตอร์เฉพาะของโครงการซึ่งยังต้องเก็บข้อมูลหรือประเมินเพิ่มเติม การมีแหล่งอ้างอิงรองรับสูตรไม่ได้หมายความว่าแหล่งนั้นรับรองตัวเลขทุกค่าที่กำหนดในระบบ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38"/>
            <w:vAlign w:val="center"/>
            <w:shd w:fill="24449A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ประเด็น</w:t>
            </w:r>
          </w:p>
        </w:tc>
        <w:tc>
          <w:tcPr>
            <w:tcW w:type="dxa" w:w="1474"/>
            <w:vAlign w:val="center"/>
            <w:shd w:fill="24449A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สถานะ</w:t>
            </w:r>
          </w:p>
        </w:tc>
        <w:tc>
          <w:tcPr>
            <w:tcW w:type="dxa" w:w="2835"/>
            <w:vAlign w:val="center"/>
            <w:shd w:fill="24449A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ที่มา/แหล่งอ้างอิง</w:t>
            </w:r>
          </w:p>
        </w:tc>
        <w:tc>
          <w:tcPr>
            <w:tcW w:type="dxa" w:w="3402"/>
            <w:vAlign w:val="center"/>
            <w:shd w:fill="24449A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ข้อสรุปและหลักฐานที่ต้องเพิ่ม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Cosine Similarity และ Dot Product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color w:val="16803A"/>
                <w:sz w:val="28"/>
              </w:rPr>
              <w:t>มี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Manning, Raghavan และ Schütze (2008)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รองรับสูตรวัดความคล้ายของเวกเตอร์ แต่ไม่ได้รับรองน้ำหนักหรือเกณฑ์ของ GoWithUs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การเข้ารหัสแบบ 0/1 และ Multi-hot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color w:val="16803A"/>
                <w:sz w:val="28"/>
              </w:rPr>
              <w:t>มี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แนวคิด Vector Space Model และการเข้ารหัสคุณลักษณะเชิงหมวดหมู่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รองรับการแทนการเลือก/ไม่เลือกด้วยตัวเลข แต่จำนวนหมวดเป็นการออกแบบของโครงการ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การทำ Unit Vector หรือ Normalization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color w:val="16803A"/>
                <w:sz w:val="28"/>
              </w:rPr>
              <w:t>มี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Manning, Raghavan และ Schütze (2008); OECD/EC-JRC (2008)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รองรับหลักการปรับสเกลและการทำเวกเตอร์หน่วย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การใช้หลายปัจจัยในระบบแนะนำการท่องเที่ยว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color w:val="16803A"/>
                <w:sz w:val="28"/>
              </w:rPr>
              <w:t>มี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Zhou, Tian, Peng และ Su (2021)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รองรับการพิจารณาปัจจัยหลายด้าน เช่น งบประมาณและเวลา แต่ไม่ได้กำหนดน้ำหนักชุดเดียวกับโครงการ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วิธีหาน้ำหนักด้วย AHP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color w:val="16803A"/>
                <w:sz w:val="28"/>
              </w:rPr>
              <w:t>มี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Saaty (2008); Zaman, Botti และ Vo-Thanh (2016)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รองรับกระบวนการหาน้ำหนักจากการเปรียบเทียบปัจจัย ไม่ได้กำหนดผลลัพธ์ 35/30/20/15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น้ำหนัก 35/30/20/15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color w:val="B54708"/>
                <w:sz w:val="28"/>
              </w:rPr>
              <w:t>ยังไม่มีโดยตรง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เป็นค่าคงที่ที่ผู้วิจัย/ผู้พัฒนากำหนด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ต้องมีแบบสอบถาม AHP ข้อมูลผู้ประเมิน วิธีคำนวณ และผลตรวจความสอดคล้อง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การแบ่งระดับกิจกรรมเป็น 2/5/8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color w:val="B54708"/>
                <w:sz w:val="28"/>
              </w:rPr>
              <w:t>ยังไม่มีโดยตรง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เป็นรหัสระดับที่โครงการกำหนด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ต้องอธิบายเกณฑ์แบ่งกลุ่มและทดสอบกับข้อมูลผู้ใช้จริง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การหารระดับกิจกรรมด้วย 6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color w:val="B54708"/>
                <w:sz w:val="28"/>
              </w:rPr>
              <w:t>ยังไม่มีโดยตรง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มาจากช่วง 8−2 ของสเกลในโค้ด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เป็นวิธี Normalize ที่ผูกกับสเกลของโครงการ จึงต้องมีเหตุผลและการประเมินผล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จุดตัดงบประมาณ 50%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color w:val="B54708"/>
                <w:sz w:val="28"/>
              </w:rPr>
              <w:t>ยังไม่มีโดยตรง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เป็นกฎของโครงการ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ต้องเก็บข้อมูลการยอมรับทริปเมื่องบประมาณเกินกว่าที่ผู้ใช้กำหนด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เพดานคะแนน 39% เมื่อเกินงบสองเท่า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color w:val="B54708"/>
                <w:sz w:val="28"/>
              </w:rPr>
              <w:t>ยังไม่มีโดยตรง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เป็นกฎของโครงการ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ต้องเปรียบเทียบกับค่าเพดานอื่นและประเมินผลด้วยข้อมูลจริง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ช่วงแปลผล 25/50/75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color w:val="B54708"/>
                <w:sz w:val="28"/>
              </w:rPr>
              <w:t>ยังไม่มีโดยตรง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เป็นเกณฑ์การแสดงผลของ UI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ต้องตรวจว่าช่วงคะแนนสอดคล้องกับความเห็นหรือพฤติกรรมของผู้ใช้จริง</w:t>
            </w:r>
          </w:p>
        </w:tc>
      </w:tr>
      <w:tr>
        <w:tc>
          <w:tcPr>
            <w:tcW w:type="dxa" w:w="2438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จำนวนหมวดความสนใจและจำนวนที่เลือกได้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/>
                <w:color w:val="B54708"/>
                <w:sz w:val="28"/>
              </w:rPr>
              <w:t>ยังไม่มีโดยตรง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เป็นขอบเขตที่โครงการกำหนด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H Sarabun New" w:hAnsi="TH Sarabun New" w:eastAsia="TH Sarabun New"/>
                <w:b w:val="0"/>
                <w:sz w:val="28"/>
              </w:rPr>
              <w:t>ต้องแสดงที่มาของหมวดและทดสอบความครอบคลุมกับกลุ่มเป้าหมาย</w:t>
            </w:r>
          </w:p>
        </w:tc>
      </w:tr>
    </w:tbl>
    <w:p>
      <w:pPr>
        <w:pStyle w:val="Heading1"/>
      </w:pPr>
      <w:r>
        <w:rPr>
          <w:rFonts w:ascii="TH Sarabun New" w:hAnsi="TH Sarabun New" w:eastAsia="TH Sarabun New"/>
        </w:rPr>
        <w:t>ข้อสรุปสำคัญ</w:t>
      </w:r>
    </w:p>
    <w:p>
      <w:pPr>
        <w:pStyle w:val="ListBullet"/>
      </w:pPr>
      <w:r>
        <w:t>มีแหล่งอ้างอิงรองรับการใช้ Cosine Similarity, Dot Product, Normalization, การแนะนำแบบหลายปัจจัย และวิธี AHP</w:t>
      </w:r>
    </w:p>
    <w:p>
      <w:pPr>
        <w:pStyle w:val="ListBullet"/>
      </w:pPr>
      <w:r>
        <w:t>ยังไม่พบงานวิจัยที่กำหนดน้ำหนัก 35%, 30%, 20% และ 15% ตรงกับระบบนี้</w:t>
      </w:r>
    </w:p>
    <w:p>
      <w:pPr>
        <w:pStyle w:val="ListBullet"/>
      </w:pPr>
      <w:r>
        <w:t>ค่าระดับ 2/5/8 จุดตัดงบ 50% เพดาน 39% และช่วงแปลผล 25/50/75 เป็นค่าที่โครงการกำหนดและยังต้องยืนยันด้วยข้อมูลจริง</w:t>
      </w:r>
    </w:p>
    <w:p>
      <w:pPr>
        <w:pStyle w:val="ListBullet"/>
      </w:pPr>
      <w:r>
        <w:t>หากต้องการอ้างตัวเลขน้ำหนักเป็นผลวิจัย ควรเก็บแบบสอบถามจากกลุ่มเป้าหมายและคำนวณด้วย AHP โดยไม่กำหนดคำตอบล่วงหน้า</w:t>
      </w:r>
    </w:p>
    <w:p>
      <w:pPr>
        <w:pStyle w:val="Heading1"/>
      </w:pPr>
      <w:r>
        <w:rPr>
          <w:rFonts w:ascii="TH Sarabun New" w:hAnsi="TH Sarabun New" w:eastAsia="TH Sarabun New"/>
        </w:rPr>
        <w:t>รายการอ้างอิง</w:t>
      </w:r>
    </w:p>
    <w:p>
      <w:r>
        <w:t>[1] Manning, C. D., Raghavan, P., &amp; Schütze, H. (2008). Introduction to Information Retrieval. Cambridge University Press. https://nlp.stanford.edu/IR-book/</w:t>
      </w:r>
    </w:p>
    <w:p>
      <w:r>
        <w:t>[2] Saaty, T. L. (2008). Decision making with the analytic hierarchy process. International Journal of Services Sciences, 1(1), 83–98. https://doi.org/10.1504/IJSSCI.2008.017590</w:t>
      </w:r>
    </w:p>
    <w:p>
      <w:r>
        <w:t>[3] Zhou, X., Tian, J., Peng, J., &amp; Su, M. (2021). A Smart Tourism Recommendation Algorithm Based on Cellular Geospatial Clustering and Multivariate Weighted Collaborative Filtering. ISPRS International Journal of Geo-Information, 10(9), 628. https://doi.org/10.3390/ijgi10090628</w:t>
      </w:r>
    </w:p>
    <w:p>
      <w:r>
        <w:t>[4] Zaman, M., Botti, L., &amp; Vo-Thanh, T. (2016). Weight of criteria in hotel selection: An empirical illustration based on TripAdvisor criteria. European Journal of Tourism Research, 13, 132–138.</w:t>
      </w:r>
    </w:p>
    <w:p>
      <w:r>
        <w:t>[5] OECD, European Union, &amp; Joint Research Centre. (2008). Handbook on Constructing Composite Indicators: Methodology and User Guide. OECD Publishing. https://doi.org/10.1787/9789264043466-en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