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Project Charter</w:t>
      </w:r>
    </w:p>
    <w:p>
      <w:pPr>
        <w:jc w:val="center"/>
      </w:pPr>
      <w:r>
        <w:rPr>
          <w:i/>
          <w:sz w:val="26"/>
        </w:rPr>
        <w:t>Benign Immunoediting in Endometriosis — A Fully In Silico, Fully Reproducible Study</w:t>
      </w:r>
    </w:p>
    <w:p>
      <w:pPr>
        <w:jc w:val="center"/>
      </w:pPr>
      <w:r>
        <w:rPr>
          <w:i/>
          <w:sz w:val="21"/>
        </w:rPr>
        <w:t>Working document for execution — read this first in any new session. Nothing in this study is simulated; every number is computed from real public data and is traceable to a saved file.</w:t>
      </w:r>
    </w:p>
    <w:p/>
    <w:p>
      <w:pPr>
        <w:pStyle w:val="Heading1"/>
      </w:pPr>
      <w:r>
        <w:t>1. The Study Idea (final, post novelty screen and attack test)</w:t>
      </w:r>
    </w:p>
    <w:p>
      <w:r>
        <w:rPr>
          <w:b/>
        </w:rPr>
        <w:t xml:space="preserve">Title: </w:t>
      </w:r>
      <w:r>
        <w:t>Benign Immunoediting: An Elimination-Equilibrium-Escape Framework for Endometriosis Resolved by Single-Cell Analysis and Computational Reversal</w:t>
      </w:r>
    </w:p>
    <w:p>
      <w:r>
        <w:rPr>
          <w:b/>
        </w:rPr>
        <w:t xml:space="preserve">Core claim: </w:t>
      </w:r>
      <w:r>
        <w:t>Endometriosis is a benign immunoediting process. Retrograde menstruation occurs in most women, but disease develops in a minority: refluxed endometrial cells are either eliminated by NK-cell surveillance, held in equilibrium, or acquire an escape state (senescence resistance + reduced NK-clearance ligand display + reactivated survival programming). Disease progression is the equilibrium-to-escape transition.</w:t>
      </w:r>
    </w:p>
    <w:p>
      <w:r>
        <w:rPr>
          <w:b/>
        </w:rPr>
        <w:t xml:space="preserve">Why the novelty is defensible: </w:t>
      </w:r>
      <w:r>
        <w:t>The three-phase immunoediting formalism (Dunn/Schreiber, tumor immunology) has never been applied to a benign disease; the attack test confirmed this. Prior "failed clearance" literature (Dmowski 2004 onward) maps only onto the elimination phase and is subsumed by this frame. The study adds: a per-cell Immunoediting Score, molecular mapping of the equilibrium-to-escape transition, the evasion circuit map, and a therapeutic logic of immune re-engagement rather than ablation.</w:t>
      </w:r>
    </w:p>
    <w:p>
      <w:r>
        <w:rPr>
          <w:b/>
        </w:rPr>
        <w:t xml:space="preserve">Falsifiable predictions: </w:t>
      </w:r>
      <w:r>
        <w:t>(P1) Phase-correlated molecular states across the tissue spectrum healthy-peritoneum/normal-endometrium -&gt; eutopic-patient -&gt; minimal/mild lesions -&gt; advanced lesions/endometriomas. (P2) An Immunoediting Score that tracks this axis and correlates with disease stage in independent bulk cohorts. (P3) Master regulators of the escape state whose pharmacological perturbation is predicted to restore immune visibility.</w:t>
      </w:r>
    </w:p>
    <w:p>
      <w:pPr>
        <w:pStyle w:val="Heading1"/>
      </w:pPr>
      <w:r>
        <w:t>2. Working Rules (binding for every step)</w:t>
      </w:r>
    </w:p>
    <w:p>
      <w:pPr>
        <w:pStyle w:val="ListBullet"/>
      </w:pPr>
      <w:r>
        <w:t>R1 - No fabricated numbers. Every number in the manuscript, figures, and supplements is computed from real, public, downloaded data. Zero simulation of results. If an analysis yields nothing, we report nothing.</w:t>
      </w:r>
    </w:p>
    <w:p>
      <w:pPr>
        <w:pStyle w:val="ListBullet"/>
      </w:pPr>
      <w:r>
        <w:t>R2 - Full traceability. Every reported value must trace to: a saved input file (with accession + download date + checksum) -&gt; a saved script (versioned) -&gt; a saved output file. This chain is the audit trail.</w:t>
      </w:r>
    </w:p>
    <w:p>
      <w:pPr>
        <w:pStyle w:val="ListBullet"/>
      </w:pPr>
      <w:r>
        <w:t>R3 - Confirmation gates. No stage is executed without explicit written confirmation. Each stage ends with a short verification report; execution of the next stage starts only after approval.</w:t>
      </w:r>
    </w:p>
    <w:p>
      <w:pPr>
        <w:pStyle w:val="ListBullet"/>
      </w:pPr>
      <w:r>
        <w:t>R4 - Reproducibility. Fixed random seeds recorded per analysis; R/package versions locked and exported (sessionInfo / renv.lock saved as a supporting file); no manual editing of result files - all edits happen in scripts.</w:t>
      </w:r>
    </w:p>
    <w:p>
      <w:pPr>
        <w:pStyle w:val="ListBullet"/>
      </w:pPr>
      <w:r>
        <w:t>R5 - QC gates. A stage does not proceed if its QC fails. QC criteria are pre-registered in this charter (Section 4) before looking at results.</w:t>
      </w:r>
    </w:p>
    <w:p>
      <w:pPr>
        <w:pStyle w:val="ListBullet"/>
      </w:pPr>
      <w:r>
        <w:t>R6 - Honest reporting. Null and negative results are reported as found. Effect sizes and exact p-values accompany every claim. No p-hacking: hypotheses and thresholds are set before analysis.</w:t>
      </w:r>
    </w:p>
    <w:p>
      <w:pPr>
        <w:pStyle w:val="ListBullet"/>
      </w:pPr>
      <w:r>
        <w:t>R7 - Supporting files. Every stage produces a supporting file (supplementary table or figure) that proves the claim: dataset manifest, gene-set tables with literature sources, QC reports, full statistics, and the code itself.</w:t>
      </w:r>
    </w:p>
    <w:p>
      <w:pPr>
        <w:pStyle w:val="ListBullet"/>
      </w:pPr>
      <w:r>
        <w:t>R8 - Division of labor. The lead researcher drives R execution, figures, and supporting files; the assistant designs analyses, writes/reviews code, verifies numbers against sources, and prepares documentation.</w:t>
      </w:r>
    </w:p>
    <w:p>
      <w:pPr>
        <w:pStyle w:val="ListBullet"/>
      </w:pPr>
      <w:r>
        <w:t>R9 - Periodic accuracy review. After every stage, numbers are re-checked against their source files before proceeding.</w:t>
      </w:r>
    </w:p>
    <w:p>
      <w:pPr>
        <w:pStyle w:val="Heading1"/>
      </w:pPr>
      <w:r>
        <w:t>3. Data Sources (verified during the feasibility audit)</w:t>
      </w:r>
    </w:p>
    <w:p>
      <w:r>
        <w:rPr>
          <w:i w:val="0"/>
        </w:rPr>
        <w:t>Accessions listed below were verified against repositories during the audit. Where an accession was not yet confirmed, it is explicitly marked; confirming it is part of Stage S1, not assumed.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Role in study</w:t>
            </w:r>
          </w:p>
        </w:tc>
        <w:tc>
          <w:tcPr>
            <w:tcW w:type="dxa" w:w="2160"/>
          </w:tcPr>
          <w:p>
            <w:r>
              <w:rPr>
                <w:b/>
                <w:sz w:val="19"/>
              </w:rPr>
              <w:t>Dataset</w:t>
            </w:r>
          </w:p>
        </w:tc>
        <w:tc>
          <w:tcPr>
            <w:tcW w:type="dxa" w:w="2160"/>
          </w:tcPr>
          <w:p>
            <w:r>
              <w:rPr>
                <w:b/>
                <w:sz w:val="19"/>
              </w:rPr>
              <w:t>Accession</w:t>
            </w:r>
          </w:p>
        </w:tc>
        <w:tc>
          <w:tcPr>
            <w:tcW w:type="dxa" w:w="2160"/>
          </w:tcPr>
          <w:p>
            <w:r>
              <w:rPr>
                <w:b/>
                <w:sz w:val="19"/>
              </w:rPr>
              <w:t>Notes</w:t>
            </w:r>
          </w:p>
        </w:tc>
      </w:tr>
      <w:tr>
        <w:tc>
          <w:tcPr>
            <w:tcW w:type="dxa" w:w="2160"/>
          </w:tcPr>
          <w:p>
            <w:r>
              <w:rPr>
                <w:sz w:val="18"/>
              </w:rPr>
              <w:t>Primary single-cell atlas</w:t>
            </w:r>
          </w:p>
        </w:tc>
        <w:tc>
          <w:tcPr>
            <w:tcW w:type="dxa" w:w="2160"/>
          </w:tcPr>
          <w:p>
            <w:r>
              <w:rPr>
                <w:sz w:val="18"/>
              </w:rPr>
              <w:t>Fonseca et al. endometriosis atlas - endometriomas, lesions, eutopic endometrium, unaffected ovary, disease-free peritoneum</w:t>
            </w:r>
          </w:p>
        </w:tc>
        <w:tc>
          <w:tcPr>
            <w:tcW w:type="dxa" w:w="2160"/>
          </w:tcPr>
          <w:p>
            <w:r>
              <w:rPr>
                <w:sz w:val="18"/>
              </w:rPr>
              <w:t>GSE213216</w:t>
            </w:r>
          </w:p>
        </w:tc>
        <w:tc>
          <w:tcPr>
            <w:tcW w:type="dxa" w:w="2160"/>
          </w:tcPr>
          <w:p>
            <w:r>
              <w:rPr>
                <w:sz w:val="18"/>
              </w:rPr>
              <w:t>&gt;370,000 cells; contains the full tissue spectrum needed for phase mapping</w:t>
            </w:r>
          </w:p>
        </w:tc>
      </w:tr>
      <w:tr>
        <w:tc>
          <w:tcPr>
            <w:tcW w:type="dxa" w:w="2160"/>
          </w:tcPr>
          <w:p>
            <w:r>
              <w:rPr>
                <w:sz w:val="18"/>
              </w:rPr>
              <w:t>Integrated endometrial atlas (normal reference)</w:t>
            </w:r>
          </w:p>
        </w:tc>
        <w:tc>
          <w:tcPr>
            <w:tcW w:type="dxa" w:w="2160"/>
          </w:tcPr>
          <w:p>
            <w:r>
              <w:rPr>
                <w:sz w:val="18"/>
              </w:rPr>
              <w:t>Mareckova et al. integrated endometrial single-cell atlas</w:t>
            </w:r>
          </w:p>
        </w:tc>
        <w:tc>
          <w:tcPr>
            <w:tcW w:type="dxa" w:w="2160"/>
          </w:tcPr>
          <w:p>
            <w:r>
              <w:rPr>
                <w:sz w:val="18"/>
              </w:rPr>
              <w:t>GSE183837</w:t>
            </w:r>
          </w:p>
        </w:tc>
        <w:tc>
          <w:tcPr>
            <w:tcW w:type="dxa" w:w="2160"/>
          </w:tcPr>
          <w:p>
            <w:r>
              <w:rPr>
                <w:sz w:val="18"/>
              </w:rPr>
              <w:t>Healthy endometrium across cycle phases</w:t>
            </w:r>
          </w:p>
        </w:tc>
      </w:tr>
      <w:tr>
        <w:tc>
          <w:tcPr>
            <w:tcW w:type="dxa" w:w="2160"/>
          </w:tcPr>
          <w:p>
            <w:r>
              <w:rPr>
                <w:sz w:val="18"/>
              </w:rPr>
              <w:t>Peritoneal immune compartment</w:t>
            </w:r>
          </w:p>
        </w:tc>
        <w:tc>
          <w:tcPr>
            <w:tcW w:type="dxa" w:w="2160"/>
          </w:tcPr>
          <w:p>
            <w:r>
              <w:rPr>
                <w:sz w:val="18"/>
              </w:rPr>
              <w:t>Zou et al. peritoneal-fluid single-cell (endometriosis vs control)</w:t>
            </w:r>
          </w:p>
        </w:tc>
        <w:tc>
          <w:tcPr>
            <w:tcW w:type="dxa" w:w="2160"/>
          </w:tcPr>
          <w:p>
            <w:r>
              <w:rPr>
                <w:sz w:val="18"/>
              </w:rPr>
              <w:t>Accession to be confirmed at S1</w:t>
            </w:r>
          </w:p>
        </w:tc>
        <w:tc>
          <w:tcPr>
            <w:tcW w:type="dxa" w:w="2160"/>
          </w:tcPr>
          <w:p>
            <w:r>
              <w:rPr>
                <w:sz w:val="18"/>
              </w:rPr>
              <w:t>NK-cell dysfunction evidence</w:t>
            </w:r>
          </w:p>
        </w:tc>
      </w:tr>
      <w:tr>
        <w:tc>
          <w:tcPr>
            <w:tcW w:type="dxa" w:w="2160"/>
          </w:tcPr>
          <w:p>
            <w:r>
              <w:rPr>
                <w:sz w:val="18"/>
              </w:rPr>
              <w:t>Early-stage disease gradient</w:t>
            </w:r>
          </w:p>
        </w:tc>
        <w:tc>
          <w:tcPr>
            <w:tcW w:type="dxa" w:w="2160"/>
          </w:tcPr>
          <w:p>
            <w:r>
              <w:rPr>
                <w:sz w:val="18"/>
              </w:rPr>
              <w:t>Huang et al. minimal/mild endometriosis immune microenvironment</w:t>
            </w:r>
          </w:p>
        </w:tc>
        <w:tc>
          <w:tcPr>
            <w:tcW w:type="dxa" w:w="2160"/>
          </w:tcPr>
          <w:p>
            <w:r>
              <w:rPr>
                <w:sz w:val="18"/>
              </w:rPr>
              <w:t>Accession to be confirmed at S1</w:t>
            </w:r>
          </w:p>
        </w:tc>
        <w:tc>
          <w:tcPr>
            <w:tcW w:type="dxa" w:w="2160"/>
          </w:tcPr>
          <w:p>
            <w:r>
              <w:rPr>
                <w:sz w:val="18"/>
              </w:rPr>
              <w:t>Minimal/mild disease - candidate equilibrium-state samples</w:t>
            </w:r>
          </w:p>
        </w:tc>
      </w:tr>
      <w:tr>
        <w:tc>
          <w:tcPr>
            <w:tcW w:type="dxa" w:w="2160"/>
          </w:tcPr>
          <w:p>
            <w:r>
              <w:rPr>
                <w:sz w:val="18"/>
              </w:rPr>
              <w:t>Bulk validation cohort (primary)</w:t>
            </w:r>
          </w:p>
        </w:tc>
        <w:tc>
          <w:tcPr>
            <w:tcW w:type="dxa" w:w="2160"/>
          </w:tcPr>
          <w:p>
            <w:r>
              <w:rPr>
                <w:sz w:val="18"/>
              </w:rPr>
              <w:t>Endometrium, n=148, classified minimal/mild vs moderate/severe</w:t>
            </w:r>
          </w:p>
        </w:tc>
        <w:tc>
          <w:tcPr>
            <w:tcW w:type="dxa" w:w="2160"/>
          </w:tcPr>
          <w:p>
            <w:r>
              <w:rPr>
                <w:sz w:val="18"/>
              </w:rPr>
              <w:t>GSE51981</w:t>
            </w:r>
          </w:p>
        </w:tc>
        <w:tc>
          <w:tcPr>
            <w:tcW w:type="dxa" w:w="2160"/>
          </w:tcPr>
          <w:p>
            <w:r>
              <w:rPr>
                <w:sz w:val="18"/>
              </w:rPr>
              <w:t>Ready-made severity-graded cohort for Immunoediting Score validation</w:t>
            </w:r>
          </w:p>
        </w:tc>
      </w:tr>
      <w:tr>
        <w:tc>
          <w:tcPr>
            <w:tcW w:type="dxa" w:w="2160"/>
          </w:tcPr>
          <w:p>
            <w:r>
              <w:rPr>
                <w:sz w:val="18"/>
              </w:rPr>
              <w:t>Bulk validation (paired)</w:t>
            </w:r>
          </w:p>
        </w:tc>
        <w:tc>
          <w:tcPr>
            <w:tcW w:type="dxa" w:w="2160"/>
          </w:tcPr>
          <w:p>
            <w:r>
              <w:rPr>
                <w:sz w:val="18"/>
              </w:rPr>
              <w:t>Paired eutopic/ectopic from the same women</w:t>
            </w:r>
          </w:p>
        </w:tc>
        <w:tc>
          <w:tcPr>
            <w:tcW w:type="dxa" w:w="2160"/>
          </w:tcPr>
          <w:p>
            <w:r>
              <w:rPr>
                <w:sz w:val="18"/>
              </w:rPr>
              <w:t>GSE11691</w:t>
            </w:r>
          </w:p>
        </w:tc>
        <w:tc>
          <w:tcPr>
            <w:tcW w:type="dxa" w:w="2160"/>
          </w:tcPr>
          <w:p>
            <w:r>
              <w:rPr>
                <w:sz w:val="18"/>
              </w:rPr>
              <w:t>Within-patient comparison</w:t>
            </w:r>
          </w:p>
        </w:tc>
      </w:tr>
      <w:tr>
        <w:tc>
          <w:tcPr>
            <w:tcW w:type="dxa" w:w="2160"/>
          </w:tcPr>
          <w:p>
            <w:r>
              <w:rPr>
                <w:sz w:val="18"/>
              </w:rPr>
              <w:t>Bulk validation (additional)</w:t>
            </w:r>
          </w:p>
        </w:tc>
        <w:tc>
          <w:tcPr>
            <w:tcW w:type="dxa" w:w="2160"/>
          </w:tcPr>
          <w:p>
            <w:r>
              <w:rPr>
                <w:sz w:val="18"/>
              </w:rPr>
              <w:t>Independent endometriosis expression cohorts</w:t>
            </w:r>
          </w:p>
        </w:tc>
        <w:tc>
          <w:tcPr>
            <w:tcW w:type="dxa" w:w="2160"/>
          </w:tcPr>
          <w:p>
            <w:r>
              <w:rPr>
                <w:sz w:val="18"/>
              </w:rPr>
              <w:t>GSE7305, GSE25628, GSE6364, GSE120103</w:t>
            </w:r>
          </w:p>
        </w:tc>
        <w:tc>
          <w:tcPr>
            <w:tcW w:type="dxa" w:w="2160"/>
          </w:tcPr>
          <w:p>
            <w:r>
              <w:rPr>
                <w:sz w:val="18"/>
              </w:rPr>
              <w:t>Replication of score-stage association</w:t>
            </w:r>
          </w:p>
        </w:tc>
      </w:tr>
      <w:tr>
        <w:tc>
          <w:tcPr>
            <w:tcW w:type="dxa" w:w="2160"/>
          </w:tcPr>
          <w:p>
            <w:r>
              <w:rPr>
                <w:sz w:val="18"/>
              </w:rPr>
              <w:t>Senescence gene panel</w:t>
            </w:r>
          </w:p>
        </w:tc>
        <w:tc>
          <w:tcPr>
            <w:tcW w:type="dxa" w:w="2160"/>
          </w:tcPr>
          <w:p>
            <w:r>
              <w:rPr>
                <w:sz w:val="18"/>
              </w:rPr>
              <w:t>SenMayo (Saul et al. 2022)</w:t>
            </w:r>
          </w:p>
        </w:tc>
        <w:tc>
          <w:tcPr>
            <w:tcW w:type="dxa" w:w="2160"/>
          </w:tcPr>
          <w:p>
            <w:r>
              <w:rPr>
                <w:sz w:val="18"/>
              </w:rPr>
              <w:t>MSigDB SAUL_SEN_MAYO (M45803)</w:t>
            </w:r>
          </w:p>
        </w:tc>
        <w:tc>
          <w:tcPr>
            <w:tcW w:type="dxa" w:w="2160"/>
          </w:tcPr>
          <w:p>
            <w:r>
              <w:rPr>
                <w:sz w:val="18"/>
              </w:rPr>
              <w:t>Senescence module source</w:t>
            </w:r>
          </w:p>
        </w:tc>
      </w:tr>
      <w:tr>
        <w:tc>
          <w:tcPr>
            <w:tcW w:type="dxa" w:w="2160"/>
          </w:tcPr>
          <w:p>
            <w:r>
              <w:rPr>
                <w:sz w:val="18"/>
              </w:rPr>
              <w:t>Connectivity mapping</w:t>
            </w:r>
          </w:p>
        </w:tc>
        <w:tc>
          <w:tcPr>
            <w:tcW w:type="dxa" w:w="2160"/>
          </w:tcPr>
          <w:p>
            <w:r>
              <w:rPr>
                <w:sz w:val="18"/>
              </w:rPr>
              <w:t>LINCS L1000 / CLUE platform</w:t>
            </w:r>
          </w:p>
        </w:tc>
        <w:tc>
          <w:tcPr>
            <w:tcW w:type="dxa" w:w="2160"/>
          </w:tcPr>
          <w:p>
            <w:r>
              <w:rPr>
                <w:sz w:val="18"/>
              </w:rPr>
              <w:t>clue.io; GEO GSE92742</w:t>
            </w:r>
          </w:p>
        </w:tc>
        <w:tc>
          <w:tcPr>
            <w:tcW w:type="dxa" w:w="2160"/>
          </w:tcPr>
          <w:p>
            <w:r>
              <w:rPr>
                <w:sz w:val="18"/>
              </w:rPr>
              <w:t>State-reversal compound screen</w:t>
            </w:r>
          </w:p>
        </w:tc>
      </w:tr>
      <w:tr>
        <w:tc>
          <w:tcPr>
            <w:tcW w:type="dxa" w:w="2160"/>
          </w:tcPr>
          <w:p>
            <w:r>
              <w:rPr>
                <w:sz w:val="18"/>
              </w:rPr>
              <w:t>Structural follow-up</w:t>
            </w:r>
          </w:p>
        </w:tc>
        <w:tc>
          <w:tcPr>
            <w:tcW w:type="dxa" w:w="2160"/>
          </w:tcPr>
          <w:p>
            <w:r>
              <w:rPr>
                <w:sz w:val="18"/>
              </w:rPr>
              <w:t>PDB structures of nominated regulators; PubChem ligands</w:t>
            </w:r>
          </w:p>
        </w:tc>
        <w:tc>
          <w:tcPr>
            <w:tcW w:type="dxa" w:w="2160"/>
          </w:tcPr>
          <w:p>
            <w:r>
              <w:rPr>
                <w:sz w:val="18"/>
              </w:rPr>
              <w:t>To be selected at S8</w:t>
            </w:r>
          </w:p>
        </w:tc>
        <w:tc>
          <w:tcPr>
            <w:tcW w:type="dxa" w:w="2160"/>
          </w:tcPr>
          <w:p>
            <w:r>
              <w:rPr>
                <w:sz w:val="18"/>
              </w:rPr>
              <w:t>Only after master regulators are data-nominated</w:t>
            </w:r>
          </w:p>
        </w:tc>
      </w:tr>
    </w:tbl>
    <w:p/>
    <w:p>
      <w:pPr>
        <w:pStyle w:val="Heading1"/>
      </w:pPr>
      <w:r>
        <w:t>4. Pre-Registered QC Gates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Stage</w:t>
            </w:r>
          </w:p>
        </w:tc>
        <w:tc>
          <w:tcPr>
            <w:tcW w:type="dxa" w:w="4320"/>
          </w:tcPr>
          <w:p>
            <w:r>
              <w:rPr>
                <w:b/>
                <w:sz w:val="19"/>
              </w:rPr>
              <w:t>QC gate (checked before results are interpreted)</w:t>
            </w:r>
          </w:p>
        </w:tc>
      </w:tr>
      <w:tr>
        <w:tc>
          <w:tcPr>
            <w:tcW w:type="dxa" w:w="4320"/>
          </w:tcPr>
          <w:p>
            <w:r>
              <w:rPr>
                <w:sz w:val="18"/>
              </w:rPr>
              <w:t>S1 acquisition</w:t>
            </w:r>
          </w:p>
        </w:tc>
        <w:tc>
          <w:tcPr>
            <w:tcW w:type="dxa" w:w="4320"/>
          </w:tcPr>
          <w:p>
            <w:r>
              <w:rPr>
                <w:sz w:val="18"/>
              </w:rPr>
              <w:t>Every file has accession + download date + MD5 checksum recorded in the dataset manifest; sample counts match the original publications</w:t>
            </w:r>
          </w:p>
        </w:tc>
      </w:tr>
      <w:tr>
        <w:tc>
          <w:tcPr>
            <w:tcW w:type="dxa" w:w="4320"/>
          </w:tcPr>
          <w:p>
            <w:r>
              <w:rPr>
                <w:sz w:val="18"/>
              </w:rPr>
              <w:t>S2 integration</w:t>
            </w:r>
          </w:p>
        </w:tc>
        <w:tc>
          <w:tcPr>
            <w:tcW w:type="dxa" w:w="4320"/>
          </w:tcPr>
          <w:p>
            <w:r>
              <w:rPr>
                <w:sz w:val="18"/>
              </w:rPr>
              <w:t>Per-dataset QC thresholds (cells, genes/cell, mitochondrial fraction) reported; cell-type annotation validated against marker genes and the original publications; batch mixing metrics reported</w:t>
            </w:r>
          </w:p>
        </w:tc>
      </w:tr>
      <w:tr>
        <w:tc>
          <w:tcPr>
            <w:tcW w:type="dxa" w:w="4320"/>
          </w:tcPr>
          <w:p>
            <w:r>
              <w:rPr>
                <w:sz w:val="18"/>
              </w:rPr>
              <w:t>S3 module scoring</w:t>
            </w:r>
          </w:p>
        </w:tc>
        <w:tc>
          <w:tcPr>
            <w:tcW w:type="dxa" w:w="4320"/>
          </w:tcPr>
          <w:p>
            <w:r>
              <w:rPr>
                <w:sz w:val="18"/>
              </w:rPr>
              <w:t>Every module gene documented with its literature source; control/background gene sets of matched size used for specificity; scoring parameters fixed before running</w:t>
            </w:r>
          </w:p>
        </w:tc>
      </w:tr>
      <w:tr>
        <w:tc>
          <w:tcPr>
            <w:tcW w:type="dxa" w:w="4320"/>
          </w:tcPr>
          <w:p>
            <w:r>
              <w:rPr>
                <w:sz w:val="18"/>
              </w:rPr>
              <w:t>S4 score validation</w:t>
            </w:r>
          </w:p>
        </w:tc>
        <w:tc>
          <w:tcPr>
            <w:tcW w:type="dxa" w:w="4320"/>
          </w:tcPr>
          <w:p>
            <w:r>
              <w:rPr>
                <w:sz w:val="18"/>
              </w:rPr>
              <w:t>Score distribution examined per tissue group; statistical test and multiple-testing correction pre-specified; exact p-values and effect sizes reported</w:t>
            </w:r>
          </w:p>
        </w:tc>
      </w:tr>
      <w:tr>
        <w:tc>
          <w:tcPr>
            <w:tcW w:type="dxa" w:w="4320"/>
          </w:tcPr>
          <w:p>
            <w:r>
              <w:rPr>
                <w:sz w:val="18"/>
              </w:rPr>
              <w:t>S5 trajectory</w:t>
            </w:r>
          </w:p>
        </w:tc>
        <w:tc>
          <w:tcPr>
            <w:tcW w:type="dxa" w:w="4320"/>
          </w:tcPr>
          <w:p>
            <w:r>
              <w:rPr>
                <w:sz w:val="18"/>
              </w:rPr>
              <w:t>Trajectory robustness checked (bootstrap/subsampling); switch-point genes reported with full statistics</w:t>
            </w:r>
          </w:p>
        </w:tc>
      </w:tr>
      <w:tr>
        <w:tc>
          <w:tcPr>
            <w:tcW w:type="dxa" w:w="4320"/>
          </w:tcPr>
          <w:p>
            <w:r>
              <w:rPr>
                <w:sz w:val="18"/>
              </w:rPr>
              <w:t>S6 communication</w:t>
            </w:r>
          </w:p>
        </w:tc>
        <w:tc>
          <w:tcPr>
            <w:tcW w:type="dxa" w:w="4320"/>
          </w:tcPr>
          <w:p>
            <w:r>
              <w:rPr>
                <w:sz w:val="18"/>
              </w:rPr>
              <w:t>CellChat permutation-based significance; circuits reported only if significant and biologically annotated</w:t>
            </w:r>
          </w:p>
        </w:tc>
      </w:tr>
      <w:tr>
        <w:tc>
          <w:tcPr>
            <w:tcW w:type="dxa" w:w="4320"/>
          </w:tcPr>
          <w:p>
            <w:r>
              <w:rPr>
                <w:sz w:val="18"/>
              </w:rPr>
              <w:t>S7 regulons</w:t>
            </w:r>
          </w:p>
        </w:tc>
        <w:tc>
          <w:tcPr>
            <w:tcW w:type="dxa" w:w="4320"/>
          </w:tcPr>
          <w:p>
            <w:r>
              <w:rPr>
                <w:sz w:val="18"/>
              </w:rPr>
              <w:t>Regulon specificity scores reported; regulators nominated only if enriched in escape-state cells vs all comparison groups</w:t>
            </w:r>
          </w:p>
        </w:tc>
      </w:tr>
      <w:tr>
        <w:tc>
          <w:tcPr>
            <w:tcW w:type="dxa" w:w="4320"/>
          </w:tcPr>
          <w:p>
            <w:r>
              <w:rPr>
                <w:sz w:val="18"/>
              </w:rPr>
              <w:t>S8 reversal + structural</w:t>
            </w:r>
          </w:p>
        </w:tc>
        <w:tc>
          <w:tcPr>
            <w:tcW w:type="dxa" w:w="4320"/>
          </w:tcPr>
          <w:p>
            <w:r>
              <w:rPr>
                <w:sz w:val="18"/>
              </w:rPr>
              <w:t>CLUE connectivity reported with official scores; docking validated against known ligand pose where available; ADMET and MD parameters recorded</w:t>
            </w:r>
          </w:p>
        </w:tc>
      </w:tr>
    </w:tbl>
    <w:p/>
    <w:p>
      <w:pPr>
        <w:pStyle w:val="Heading1"/>
      </w:pPr>
      <w:r>
        <w:t>5. Execution Workflow (stage by stage)</w:t>
      </w:r>
    </w:p>
    <w:p>
      <w:r>
        <w:rPr>
          <w:i w:val="0"/>
        </w:rPr>
        <w:t>Each stage lists its concrete outputs. A stage is complete only when its outputs exist as saved files and its verification report is approved.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Stage</w:t>
            </w:r>
          </w:p>
        </w:tc>
        <w:tc>
          <w:tcPr>
            <w:tcW w:type="dxa" w:w="2880"/>
          </w:tcPr>
          <w:p>
            <w:r>
              <w:rPr>
                <w:b/>
                <w:sz w:val="19"/>
              </w:rPr>
              <w:t>What we do</w:t>
            </w:r>
          </w:p>
        </w:tc>
        <w:tc>
          <w:tcPr>
            <w:tcW w:type="dxa" w:w="2880"/>
          </w:tcPr>
          <w:p>
            <w:r>
              <w:rPr>
                <w:b/>
                <w:sz w:val="19"/>
              </w:rPr>
              <w:t>Saved outputs (supporting evidence)</w:t>
            </w:r>
          </w:p>
        </w:tc>
      </w:tr>
      <w:tr>
        <w:tc>
          <w:tcPr>
            <w:tcW w:type="dxa" w:w="2880"/>
          </w:tcPr>
          <w:p>
            <w:r>
              <w:rPr>
                <w:sz w:val="18"/>
              </w:rPr>
              <w:t>S0 Infrastructure</w:t>
            </w:r>
          </w:p>
        </w:tc>
        <w:tc>
          <w:tcPr>
            <w:tcW w:type="dxa" w:w="2880"/>
          </w:tcPr>
          <w:p>
            <w:r>
              <w:rPr>
                <w:sz w:val="18"/>
              </w:rPr>
              <w:t>Create project folder tree (data/ scripts/ results/ figures/ tables/ logs/); lock environment (renv.lock, sessionInfo); open the analysis log</w:t>
            </w:r>
          </w:p>
        </w:tc>
        <w:tc>
          <w:tcPr>
            <w:tcW w:type="dxa" w:w="2880"/>
          </w:tcPr>
          <w:p>
            <w:r>
              <w:rPr>
                <w:sz w:val="18"/>
              </w:rPr>
              <w:t>Folder tree; renv.lock; sessionInfo.txt; analysis_log.md opened</w:t>
            </w:r>
          </w:p>
        </w:tc>
      </w:tr>
      <w:tr>
        <w:tc>
          <w:tcPr>
            <w:tcW w:type="dxa" w:w="2880"/>
          </w:tcPr>
          <w:p>
            <w:r>
              <w:rPr>
                <w:sz w:val="18"/>
              </w:rPr>
              <w:t>S1 Acquisition</w:t>
            </w:r>
          </w:p>
        </w:tc>
        <w:tc>
          <w:tcPr>
            <w:tcW w:type="dxa" w:w="2880"/>
          </w:tcPr>
          <w:p>
            <w:r>
              <w:rPr>
                <w:sz w:val="18"/>
              </w:rPr>
              <w:t>Download all datasets; verify sample counts against publications; compute checksums</w:t>
            </w:r>
          </w:p>
        </w:tc>
        <w:tc>
          <w:tcPr>
            <w:tcW w:type="dxa" w:w="2880"/>
          </w:tcPr>
          <w:p>
            <w:r>
              <w:rPr>
                <w:sz w:val="18"/>
              </w:rPr>
              <w:t>dataset_manifest.tsv (accession, URL, date, MD5, n samples); raw files in data/raw/</w:t>
            </w:r>
          </w:p>
        </w:tc>
      </w:tr>
      <w:tr>
        <w:tc>
          <w:tcPr>
            <w:tcW w:type="dxa" w:w="2880"/>
          </w:tcPr>
          <w:p>
            <w:r>
              <w:rPr>
                <w:sz w:val="18"/>
              </w:rPr>
              <w:t>S2 QC + integration</w:t>
            </w:r>
          </w:p>
        </w:tc>
        <w:tc>
          <w:tcPr>
            <w:tcW w:type="dxa" w:w="2880"/>
          </w:tcPr>
          <w:p>
            <w:r>
              <w:rPr>
                <w:sz w:val="18"/>
              </w:rPr>
              <w:t>Per-dataset QC; integration (Harmony/scVI); annotation with canonical markers; validation vs original papers</w:t>
            </w:r>
          </w:p>
        </w:tc>
        <w:tc>
          <w:tcPr>
            <w:tcW w:type="dxa" w:w="2880"/>
          </w:tcPr>
          <w:p>
            <w:r>
              <w:rPr>
                <w:sz w:val="18"/>
              </w:rPr>
              <w:t>integrated object (.rds); QC report PDF; annotation validation table; UMAP figures</w:t>
            </w:r>
          </w:p>
        </w:tc>
      </w:tr>
      <w:tr>
        <w:tc>
          <w:tcPr>
            <w:tcW w:type="dxa" w:w="2880"/>
          </w:tcPr>
          <w:p>
            <w:r>
              <w:rPr>
                <w:sz w:val="18"/>
              </w:rPr>
              <w:t>S3 Module scoring</w:t>
            </w:r>
          </w:p>
        </w:tc>
        <w:tc>
          <w:tcPr>
            <w:tcW w:type="dxa" w:w="2880"/>
          </w:tcPr>
          <w:p>
            <w:r>
              <w:rPr>
                <w:sz w:val="18"/>
              </w:rPr>
              <w:t>Score NK-visibility, SenMayo senescence, survival programming, NK-cytotoxicity, checkpoint modules per cell (AUCell/AddModuleScore, fixed parameters)</w:t>
            </w:r>
          </w:p>
        </w:tc>
        <w:tc>
          <w:tcPr>
            <w:tcW w:type="dxa" w:w="2880"/>
          </w:tcPr>
          <w:p>
            <w:r>
              <w:rPr>
                <w:sz w:val="18"/>
              </w:rPr>
              <w:t>module_gene_sets.tsv (gene + literature source per set); per-cell score matrix; scoring script + seed</w:t>
            </w:r>
          </w:p>
        </w:tc>
      </w:tr>
      <w:tr>
        <w:tc>
          <w:tcPr>
            <w:tcW w:type="dxa" w:w="2880"/>
          </w:tcPr>
          <w:p>
            <w:r>
              <w:rPr>
                <w:sz w:val="18"/>
              </w:rPr>
              <w:t>S4 Immunoediting Score</w:t>
            </w:r>
          </w:p>
        </w:tc>
        <w:tc>
          <w:tcPr>
            <w:tcW w:type="dxa" w:w="2880"/>
          </w:tcPr>
          <w:p>
            <w:r>
              <w:rPr>
                <w:sz w:val="18"/>
              </w:rPr>
              <w:t>Composite score; test ordering across tissue spectrum; project into bulk cohorts and test stage association</w:t>
            </w:r>
          </w:p>
        </w:tc>
        <w:tc>
          <w:tcPr>
            <w:tcW w:type="dxa" w:w="2880"/>
          </w:tcPr>
          <w:p>
            <w:r>
              <w:rPr>
                <w:sz w:val="18"/>
              </w:rPr>
              <w:t>score tables; full statistics table (exact p, effect sizes); validation figure set</w:t>
            </w:r>
          </w:p>
        </w:tc>
      </w:tr>
      <w:tr>
        <w:tc>
          <w:tcPr>
            <w:tcW w:type="dxa" w:w="2880"/>
          </w:tcPr>
          <w:p>
            <w:r>
              <w:rPr>
                <w:sz w:val="18"/>
              </w:rPr>
              <w:t>S5 Transition analysis</w:t>
            </w:r>
          </w:p>
        </w:tc>
        <w:tc>
          <w:tcPr>
            <w:tcW w:type="dxa" w:w="2880"/>
          </w:tcPr>
          <w:p>
            <w:r>
              <w:rPr>
                <w:sz w:val="18"/>
              </w:rPr>
              <w:t>Pseudotime (Monocle3) on stromal/epithelial lineages; switch-point detection (tradeSeq); robustness by subsampling</w:t>
            </w:r>
          </w:p>
        </w:tc>
        <w:tc>
          <w:tcPr>
            <w:tcW w:type="dxa" w:w="2880"/>
          </w:tcPr>
          <w:p>
            <w:r>
              <w:rPr>
                <w:sz w:val="18"/>
              </w:rPr>
              <w:t>trajectory figures; switch-gene table with statistics; robustness report</w:t>
            </w:r>
          </w:p>
        </w:tc>
      </w:tr>
      <w:tr>
        <w:tc>
          <w:tcPr>
            <w:tcW w:type="dxa" w:w="2880"/>
          </w:tcPr>
          <w:p>
            <w:r>
              <w:rPr>
                <w:sz w:val="18"/>
              </w:rPr>
              <w:t>S6 Evasion circuitry</w:t>
            </w:r>
          </w:p>
        </w:tc>
        <w:tc>
          <w:tcPr>
            <w:tcW w:type="dxa" w:w="2880"/>
          </w:tcPr>
          <w:p>
            <w:r>
              <w:rPr>
                <w:sz w:val="18"/>
              </w:rPr>
              <w:t>CellChat lesion&lt;-&gt;NK/macrophage; differential communication disease vs control</w:t>
            </w:r>
          </w:p>
        </w:tc>
        <w:tc>
          <w:tcPr>
            <w:tcW w:type="dxa" w:w="2880"/>
          </w:tcPr>
          <w:p>
            <w:r>
              <w:rPr>
                <w:sz w:val="18"/>
              </w:rPr>
              <w:t>communication tables; circuit map figures; permutation statistics</w:t>
            </w:r>
          </w:p>
        </w:tc>
      </w:tr>
      <w:tr>
        <w:tc>
          <w:tcPr>
            <w:tcW w:type="dxa" w:w="2880"/>
          </w:tcPr>
          <w:p>
            <w:r>
              <w:rPr>
                <w:sz w:val="18"/>
              </w:rPr>
              <w:t>S7 Master regulators</w:t>
            </w:r>
          </w:p>
        </w:tc>
        <w:tc>
          <w:tcPr>
            <w:tcW w:type="dxa" w:w="2880"/>
          </w:tcPr>
          <w:p>
            <w:r>
              <w:rPr>
                <w:sz w:val="18"/>
              </w:rPr>
              <w:t>pySCENIC on escape-state cells; specificity ranking across all groups</w:t>
            </w:r>
          </w:p>
        </w:tc>
        <w:tc>
          <w:tcPr>
            <w:tcW w:type="dxa" w:w="2880"/>
          </w:tcPr>
          <w:p>
            <w:r>
              <w:rPr>
                <w:sz w:val="18"/>
              </w:rPr>
              <w:t>regulon activity matrix; ranked regulator table; specificity scores</w:t>
            </w:r>
          </w:p>
        </w:tc>
      </w:tr>
      <w:tr>
        <w:tc>
          <w:tcPr>
            <w:tcW w:type="dxa" w:w="2880"/>
          </w:tcPr>
          <w:p>
            <w:r>
              <w:rPr>
                <w:sz w:val="18"/>
              </w:rPr>
              <w:t>S8 Computational reversal</w:t>
            </w:r>
          </w:p>
        </w:tc>
        <w:tc>
          <w:tcPr>
            <w:tcW w:type="dxa" w:w="2880"/>
          </w:tcPr>
          <w:p>
            <w:r>
              <w:rPr>
                <w:sz w:val="18"/>
              </w:rPr>
              <w:t>CLUE query with escape signature; dock top candidates against data-nominated druggable regulators (Vina, validated by re-docking where possible); ADMETlab; short MD (OpenMM)</w:t>
            </w:r>
          </w:p>
        </w:tc>
        <w:tc>
          <w:tcPr>
            <w:tcW w:type="dxa" w:w="2880"/>
          </w:tcPr>
          <w:p>
            <w:r>
              <w:rPr>
                <w:sz w:val="18"/>
              </w:rPr>
              <w:t>CLUE result tables; docking tables + poses; ADMET table; MD trajectories summary; all parameters logged</w:t>
            </w:r>
          </w:p>
        </w:tc>
      </w:tr>
      <w:tr>
        <w:tc>
          <w:tcPr>
            <w:tcW w:type="dxa" w:w="2880"/>
          </w:tcPr>
          <w:p>
            <w:r>
              <w:rPr>
                <w:sz w:val="18"/>
              </w:rPr>
              <w:t>S9 Packaging</w:t>
            </w:r>
          </w:p>
        </w:tc>
        <w:tc>
          <w:tcPr>
            <w:tcW w:type="dxa" w:w="2880"/>
          </w:tcPr>
          <w:p>
            <w:r>
              <w:rPr>
                <w:sz w:val="18"/>
              </w:rPr>
              <w:t>Assemble manuscript figures, supplementary files S1-S5 (manifest, gene sets, QC, full statistics, code), methods document</w:t>
            </w:r>
          </w:p>
        </w:tc>
        <w:tc>
          <w:tcPr>
            <w:tcW w:type="dxa" w:w="2880"/>
          </w:tcPr>
          <w:p>
            <w:r>
              <w:rPr>
                <w:sz w:val="18"/>
              </w:rPr>
              <w:t>figure files (main + supp); supplementary tables S1-S5; methods.md; final audit trail</w:t>
            </w:r>
          </w:p>
        </w:tc>
      </w:tr>
    </w:tbl>
    <w:p/>
    <w:p>
      <w:pPr>
        <w:pStyle w:val="Heading1"/>
      </w:pPr>
      <w:r>
        <w:t>6. Project Memory / How to Resume</w:t>
      </w:r>
    </w:p>
    <w:p>
      <w:pPr>
        <w:pStyle w:val="ListBullet"/>
      </w:pPr>
      <w:r>
        <w:t>All files live under /mnt/agents/output/endometriosis_immunoediting/ and persist between sessions.</w:t>
      </w:r>
    </w:p>
    <w:p>
      <w:pPr>
        <w:pStyle w:val="ListBullet"/>
      </w:pPr>
      <w:r>
        <w:t>This charter is saved at /mnt/agents/output/Endometriosis Project Charter.docx - reference it at the start of any new session.</w:t>
      </w:r>
    </w:p>
    <w:p>
      <w:pPr>
        <w:pStyle w:val="ListBullet"/>
      </w:pPr>
      <w:r>
        <w:t>The analysis log (analysis_log.md) records every executed stage, its inputs, seeds, and outputs - read it first when resuming.</w:t>
      </w:r>
    </w:p>
    <w:p>
      <w:pPr>
        <w:pStyle w:val="ListBullet"/>
      </w:pPr>
      <w:r>
        <w:t>Companion documents already produced: "Revised Proposals (Post-Novelty Screen).docx" (the scientific framing) and "Data Availability and Feasibility Audit.docx" (the audit trail of the novelty screen and data verification).</w:t>
      </w:r>
    </w:p>
    <w:p>
      <w:pPr>
        <w:pStyle w:val="Heading1"/>
      </w:pPr>
      <w:r>
        <w:t>7. First Actions Checklist (awaiting confirmation)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Order</w:t>
            </w:r>
          </w:p>
        </w:tc>
        <w:tc>
          <w:tcPr>
            <w:tcW w:type="dxa" w:w="2880"/>
          </w:tcPr>
          <w:p>
            <w:r>
              <w:rPr>
                <w:b/>
                <w:sz w:val="19"/>
              </w:rPr>
              <w:t>Action</w:t>
            </w:r>
          </w:p>
        </w:tc>
        <w:tc>
          <w:tcPr>
            <w:tcW w:type="dxa" w:w="2880"/>
          </w:tcPr>
          <w:p>
            <w:r>
              <w:rPr>
                <w:b/>
                <w:sz w:val="19"/>
              </w:rPr>
              <w:t>Status</w:t>
            </w:r>
          </w:p>
        </w:tc>
      </w:tr>
      <w:tr>
        <w:tc>
          <w:tcPr>
            <w:tcW w:type="dxa" w:w="2880"/>
          </w:tcPr>
          <w:p>
            <w:r>
              <w:rPr>
                <w:sz w:val="18"/>
              </w:rPr>
              <w:t>1</w:t>
            </w:r>
          </w:p>
        </w:tc>
        <w:tc>
          <w:tcPr>
            <w:tcW w:type="dxa" w:w="2880"/>
          </w:tcPr>
          <w:p>
            <w:r>
              <w:rPr>
                <w:sz w:val="18"/>
              </w:rPr>
              <w:t>Confirm this charter (rules + workflow) or request edits</w:t>
            </w:r>
          </w:p>
        </w:tc>
        <w:tc>
          <w:tcPr>
            <w:tcW w:type="dxa" w:w="2880"/>
          </w:tcPr>
          <w:p>
            <w:r>
              <w:rPr>
                <w:sz w:val="18"/>
              </w:rPr>
              <w:t>Awaiting confirmation</w:t>
            </w:r>
          </w:p>
        </w:tc>
      </w:tr>
      <w:tr>
        <w:tc>
          <w:tcPr>
            <w:tcW w:type="dxa" w:w="2880"/>
          </w:tcPr>
          <w:p>
            <w:r>
              <w:rPr>
                <w:sz w:val="18"/>
              </w:rPr>
              <w:t>2</w:t>
            </w:r>
          </w:p>
        </w:tc>
        <w:tc>
          <w:tcPr>
            <w:tcW w:type="dxa" w:w="2880"/>
          </w:tcPr>
          <w:p>
            <w:r>
              <w:rPr>
                <w:sz w:val="18"/>
              </w:rPr>
              <w:t>S0: create folder structure, environment lock, analysis log</w:t>
            </w:r>
          </w:p>
        </w:tc>
        <w:tc>
          <w:tcPr>
            <w:tcW w:type="dxa" w:w="2880"/>
          </w:tcPr>
          <w:p>
            <w:r>
              <w:rPr>
                <w:sz w:val="18"/>
              </w:rPr>
              <w:t>Not started - gated</w:t>
            </w:r>
          </w:p>
        </w:tc>
      </w:tr>
      <w:tr>
        <w:tc>
          <w:tcPr>
            <w:tcW w:type="dxa" w:w="2880"/>
          </w:tcPr>
          <w:p>
            <w:r>
              <w:rPr>
                <w:sz w:val="18"/>
              </w:rPr>
              <w:t>3</w:t>
            </w:r>
          </w:p>
        </w:tc>
        <w:tc>
          <w:tcPr>
            <w:tcW w:type="dxa" w:w="2880"/>
          </w:tcPr>
          <w:p>
            <w:r>
              <w:rPr>
                <w:sz w:val="18"/>
              </w:rPr>
              <w:t>S1: download datasets, build dataset manifest with checksums</w:t>
            </w:r>
          </w:p>
        </w:tc>
        <w:tc>
          <w:tcPr>
            <w:tcW w:type="dxa" w:w="2880"/>
          </w:tcPr>
          <w:p>
            <w:r>
              <w:rPr>
                <w:sz w:val="18"/>
              </w:rPr>
              <w:t>Not started - gated</w:t>
            </w:r>
          </w:p>
        </w:tc>
      </w:tr>
    </w:tbl>
    <w:p/>
    <w:p>
      <w:r>
        <w:rPr>
          <w:i/>
        </w:rPr>
        <w:t>Reminder: no stage runs without an explicit go-ahead. When a stage finishes, a verification report is produced and the next stage waits for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