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200"/>
        <w:jc w:val="center"/>
      </w:pPr>
      <w:r>
        <w:rPr>
          <w:rFonts w:ascii="Times New Roman" w:cs="Times New Roman" w:eastAsia="SimSun" w:hAnsi="Times New Roman"/>
          <w:b/>
          <w:bCs/>
          <w:color w:val="263238"/>
          <w:sz w:val="34"/>
          <w:szCs w:val="34"/>
        </w:rPr>
        <w:t xml:space="preserve">Benign Immunoediting: an Elimination–Equilibrium–Escape Framework for Endometriosis</w:t>
      </w:r>
    </w:p>
    <w:p w14:paraId="59327232">
      <w:pPr>
        <w:spacing w:after="80"/>
        <w:jc w:val="center"/>
      </w:pPr>
      <w:r>
        <w:rPr>
          <w:rFonts w:ascii="Times New Roman" w:cs="Times New Roman" w:eastAsia="SimSun" w:hAnsi="Times New Roman"/>
          <w:i/>
          <w:iCs/>
          <w:sz w:val="24"/>
          <w:szCs w:val="24"/>
        </w:rPr>
        <w:t xml:space="preserve">Working manuscript — Methods and Results for completed stages (S0–S2_03)</w:t>
      </w:r>
    </w:p>
    <w:p w14:paraId="7E1F2DDE">
      <w:pPr>
        <w:spacing w:after="320"/>
        <w:jc w:val="center"/>
      </w:pPr>
      <w:r>
        <w:rPr>
          <w:rFonts w:ascii="Times New Roman" w:cs="Times New Roman" w:eastAsia="SimSun" w:hAnsi="Times New Roman"/>
          <w:color w:val="5A6B72"/>
          <w:sz w:val="20"/>
          <w:szCs w:val="20"/>
        </w:rPr>
        <w:t xml:space="preserve">Compiled 2026-09-18 from verified run records. Sections marked [S3]/[S4] are reserved placeholders to be filled by the registered downstream stages.</w:t>
      </w:r>
    </w:p>
    <w:p w14:paraId="4F2A2422">
      <w:pPr>
        <w:pStyle w:val="Heading1"/>
        <w:spacing w:after="160" w:before="320"/>
      </w:pPr>
      <w:r>
        <w:rPr>
          <w:rFonts w:ascii="Times New Roman" w:cs="Times New Roman" w:eastAsia="SimSun" w:hAnsi="Times New Roman"/>
          <w:b/>
          <w:bCs/>
          <w:sz w:val="30"/>
          <w:szCs w:val="30"/>
        </w:rPr>
        <w:t xml:space="preserve">Contents</w:t>
      </w:r>
    </w:p>
    <w:sdt xmlns:w="http://schemas.openxmlformats.org/wordprocessingml/2006/main">
      <w:sdtPr>
        <w:alias w:val="Contents"/>
      </w:sdtPr>
      <w:sdtContent>
        <w:p w14:paraId="63874AB0">
          <w:r>
            <w:fldChar w:fldCharType="begin" w:dirty="true"/>
            <w:instrText xml:space="preserve"> TOC \o "1-3" \h \z \u </w:instrText>
            <w:fldChar w:fldCharType="separate"/>
          </w:r>
        </w:p>
        <w:p w14:paraId="36740CAA">
          <w:pPr>
            <w:pStyle w:val="TOC1"/>
            <w:tabs>
              <w:tab w:val="right" w:leader="dot" w:pos="9000"/>
            </w:tabs>
            <w:ind w:left="0"/>
          </w:pPr>
          <w:r>
            <w:t>1. Methods</w:t>
          </w:r>
          <w:r>
            <w:tab/>
          </w:r>
          <w:r>
            <w:t>2</w:t>
          </w:r>
        </w:p>
        <w:p w14:paraId="7189051E">
          <w:pPr>
            <w:pStyle w:val="TOC2"/>
            <w:tabs>
              <w:tab w:val="right" w:leader="dot" w:pos="9000"/>
            </w:tabs>
            <w:ind w:left="360"/>
          </w:pPr>
          <w:r>
            <w:t>1.1 Study design, governance, and pre-registration</w:t>
          </w:r>
          <w:r>
            <w:tab/>
          </w:r>
          <w:r>
            <w:t>2</w:t>
          </w:r>
        </w:p>
        <w:p w14:paraId="622A86FE">
          <w:pPr>
            <w:pStyle w:val="TOC2"/>
            <w:tabs>
              <w:tab w:val="right" w:leader="dot" w:pos="9000"/>
            </w:tabs>
            <w:ind w:left="360"/>
          </w:pPr>
          <w:r>
            <w:t>1.2 Data sources and acquisition integrity</w:t>
          </w:r>
          <w:r>
            <w:tab/>
          </w:r>
          <w:r>
            <w:t>2</w:t>
          </w:r>
        </w:p>
        <w:p w14:paraId="60E8944E">
          <w:pPr>
            <w:pStyle w:val="TOC2"/>
            <w:tabs>
              <w:tab w:val="right" w:leader="dot" w:pos="9000"/>
            </w:tabs>
            <w:ind w:left="360"/>
          </w:pPr>
          <w:r>
            <w:t>1.3 Computational environment and reproducibility</w:t>
          </w:r>
          <w:r>
            <w:tab/>
          </w:r>
          <w:r>
            <w:t>3</w:t>
          </w:r>
        </w:p>
        <w:p w14:paraId="1E6B5BB4">
          <w:pPr>
            <w:pStyle w:val="TOC2"/>
            <w:tabs>
              <w:tab w:val="right" w:leader="dot" w:pos="9000"/>
            </w:tabs>
            <w:ind w:left="360"/>
          </w:pPr>
          <w:r>
            <w:t>1.4 Single-cell quality control and doublet removal</w:t>
          </w:r>
          <w:r>
            <w:tab/>
          </w:r>
          <w:r>
            <w:t>3</w:t>
          </w:r>
        </w:p>
        <w:p w14:paraId="757FA2A8">
          <w:pPr>
            <w:pStyle w:val="TOC2"/>
            <w:tabs>
              <w:tab w:val="right" w:leader="dot" w:pos="9000"/>
            </w:tabs>
            <w:ind w:left="360"/>
          </w:pPr>
          <w:r>
            <w:t>1.5 Biology-protection audit of excluded cells</w:t>
          </w:r>
          <w:r>
            <w:tab/>
          </w:r>
          <w:r>
            <w:t>3</w:t>
          </w:r>
        </w:p>
        <w:p w14:paraId="7DC2AC3E">
          <w:pPr>
            <w:pStyle w:val="TOC2"/>
            <w:tabs>
              <w:tab w:val="right" w:leader="dot" w:pos="9000"/>
            </w:tabs>
            <w:ind w:left="360"/>
          </w:pPr>
          <w:r>
            <w:t>1.6 Multi-dataset integration and clustering</w:t>
          </w:r>
          <w:r>
            <w:tab/>
          </w:r>
          <w:r>
            <w:t>4</w:t>
          </w:r>
        </w:p>
        <w:p w14:paraId="792B9FAE">
          <w:pPr>
            <w:pStyle w:val="TOC2"/>
            <w:tabs>
              <w:tab w:val="right" w:leader="dot" w:pos="9000"/>
            </w:tabs>
            <w:ind w:left="360"/>
          </w:pPr>
          <w:r>
            <w:t>1.7 Cluster annotation and integration acceptance gates</w:t>
          </w:r>
          <w:r>
            <w:tab/>
          </w:r>
          <w:r>
            <w:t>4</w:t>
          </w:r>
        </w:p>
        <w:p w14:paraId="6ECD1332">
          <w:pPr>
            <w:pStyle w:val="TOC2"/>
            <w:tabs>
              <w:tab w:val="right" w:leader="dot" w:pos="9000"/>
            </w:tabs>
            <w:ind w:left="360"/>
          </w:pPr>
          <w:r>
            <w:t>1.8 Bulk microarray processing and quality control</w:t>
          </w:r>
          <w:r>
            <w:tab/>
          </w:r>
          <w:r>
            <w:t>5</w:t>
          </w:r>
        </w:p>
        <w:p w14:paraId="3C1538EE">
          <w:pPr>
            <w:pStyle w:val="TOC2"/>
            <w:tabs>
              <w:tab w:val="right" w:leader="dot" w:pos="9000"/>
            </w:tabs>
            <w:ind w:left="360"/>
          </w:pPr>
          <w:r>
            <w:t>1.9 Publication figures (display-only)</w:t>
          </w:r>
          <w:r>
            <w:tab/>
          </w:r>
          <w:r>
            <w:t>6</w:t>
          </w:r>
        </w:p>
        <w:p w14:paraId="42015744">
          <w:pPr>
            <w:pStyle w:val="TOC1"/>
            <w:tabs>
              <w:tab w:val="right" w:leader="dot" w:pos="9000"/>
            </w:tabs>
            <w:ind w:left="0"/>
          </w:pPr>
          <w:r>
            <w:t>2. Results</w:t>
          </w:r>
          <w:r>
            <w:tab/>
          </w:r>
          <w:r>
            <w:t>6</w:t>
          </w:r>
        </w:p>
        <w:p w14:paraId="521B225A">
          <w:pPr>
            <w:pStyle w:val="TOC2"/>
            <w:tabs>
              <w:tab w:val="right" w:leader="dot" w:pos="9000"/>
            </w:tabs>
            <w:ind w:left="360"/>
          </w:pPr>
          <w:r>
            <w:t>2.1 Data overview</w:t>
          </w:r>
          <w:r>
            <w:tab/>
          </w:r>
          <w:r>
            <w:t>6</w:t>
          </w:r>
        </w:p>
        <w:p w14:paraId="34BFA436">
          <w:pPr>
            <w:pStyle w:val="TOC2"/>
            <w:tabs>
              <w:tab w:val="right" w:leader="dot" w:pos="9000"/>
            </w:tabs>
            <w:ind w:left="360"/>
          </w:pPr>
          <w:r>
            <w:t>2.2 Single-cell quality control and integration</w:t>
          </w:r>
          <w:r>
            <w:tab/>
          </w:r>
          <w:r>
            <w:t>7</w:t>
          </w:r>
        </w:p>
        <w:p w14:paraId="47622E94">
          <w:pPr>
            <w:pStyle w:val="TOC2"/>
            <w:tabs>
              <w:tab w:val="right" w:leader="dot" w:pos="9000"/>
            </w:tabs>
            <w:ind w:left="360"/>
          </w:pPr>
          <w:r>
            <w:t>2.3 Bulk microarray quality control</w:t>
          </w:r>
          <w:r>
            <w:tab/>
          </w:r>
          <w:r>
            <w:t>8</w:t>
          </w:r>
        </w:p>
        <w:p w14:paraId="335154FA">
          <w:pPr>
            <w:pStyle w:val="TOC2"/>
            <w:tabs>
              <w:tab w:val="right" w:leader="dot" w:pos="9000"/>
            </w:tabs>
            <w:ind w:left="360"/>
          </w:pPr>
          <w:r>
            <w:t>2.4 Primary comparisons [S3 — to be inserted]</w:t>
          </w:r>
          <w:r>
            <w:tab/>
          </w:r>
          <w:r>
            <w:t>9</w:t>
          </w:r>
        </w:p>
        <w:p w14:paraId="20ED1BE4">
          <w:pPr>
            <w:pStyle w:val="TOC2"/>
            <w:tabs>
              <w:tab w:val="right" w:leader="dot" w:pos="9000"/>
            </w:tabs>
            <w:ind w:left="360"/>
          </w:pPr>
          <w:r>
            <w:t>2.5 Cross-platform score integration [S4 — to be inserted]</w:t>
          </w:r>
          <w:r>
            <w:tab/>
          </w:r>
          <w:r>
            <w:t>9</w:t>
          </w:r>
        </w:p>
        <w:p w14:paraId="6F5A6570">
          <w:pPr>
            <w:pStyle w:val="TOC1"/>
            <w:tabs>
              <w:tab w:val="right" w:leader="dot" w:pos="9000"/>
            </w:tabs>
            <w:ind w:left="0"/>
          </w:pPr>
          <w:r>
            <w:t>3. Proposed figure and table allocation</w:t>
          </w:r>
          <w:r>
            <w:tab/>
          </w:r>
          <w:r>
            <w:t>9</w:t>
          </w:r>
        </w:p>
        <w:p w14:paraId="706839B6">
          <w:r>
            <w:fldChar w:fldCharType="end"/>
          </w:r>
        </w:p>
      </w:sdtContent>
    </w:sdt>
    <w:p w14:paraId="5979E3A2">
      <w:pPr>
        <w:pStyle w:val="Heading1"/>
        <w:spacing w:after="160" w:before="320"/>
      </w:pPr>
      <w:r>
        <w:rPr>
          <w:rFonts w:ascii="Times New Roman" w:cs="Times New Roman" w:eastAsia="SimSun" w:hAnsi="Times New Roman"/>
          <w:b/>
          <w:bCs/>
          <w:sz w:val="30"/>
          <w:szCs w:val="30"/>
        </w:rPr>
        <w:t xml:space="preserve">1. Methods</w:t>
      </w:r>
    </w:p>
    <w:p w14:paraId="501EE450">
      <w:pPr>
        <w:pStyle w:val="Heading2"/>
        <w:spacing w:after="120" w:before="240"/>
      </w:pPr>
      <w:r>
        <w:rPr>
          <w:rFonts w:ascii="Times New Roman" w:cs="Times New Roman" w:eastAsia="SimSun" w:hAnsi="Times New Roman"/>
          <w:b/>
          <w:bCs/>
          <w:sz w:val="26"/>
          <w:szCs w:val="26"/>
        </w:rPr>
        <w:t xml:space="preserve">1.1 Study design, governance, and pre-registration</w:t>
      </w:r>
    </w:p>
    <w:p w14:paraId="7D88F740">
      <w:pPr>
        <w:spacing w:after="160" w:line="276"/>
        <w:jc w:val="both"/>
      </w:pPr>
      <w:r>
        <w:rPr>
          <w:rFonts w:ascii="Times New Roman" w:cs="Times New Roman" w:eastAsia="SimSun" w:hAnsi="Times New Roman"/>
          <w:sz w:val="24"/>
          <w:szCs w:val="24"/>
        </w:rPr>
        <w:t xml:space="preserve">This is a fully in-silico, reproducibility-governed study applying the cancer immunoediting framework — elimination, equilibrium, escape — to endometriosis as a benign disease. All thresholds and comparisons were pre-registered in dated design documents before any downstream output was inspected, and every amendment to a registered element was made in writing with a recorded trigger and scope guard. A web-level novelty scan (2026-09-11) found no prior application of the immunoediting framework to endometriosis or any benign disease; a formal re-screen is registered before manuscript submission.</w:t>
      </w:r>
    </w:p>
    <w:p w14:paraId="1926379A">
      <w:pPr>
        <w:spacing w:after="160" w:line="276"/>
      </w:pPr>
      <w:r>
        <w:rPr>
          <w:rFonts w:ascii="Times New Roman" w:cs="Times New Roman" w:eastAsia="SimSun" w:hAnsi="Times New Roman"/>
          <w:sz w:val="24"/>
          <w:szCs w:val="24"/>
        </w:rPr>
        <w:t xml:space="preserve">The pre-registration package (single-cell design and amendments; bulk design Section 6; stage-specific design documents dated 2026-09-11 and later) will be deposited in a public repository (e.g., OSF) upon submission and cited here </w:t>
      </w:r>
      <w:r>
        <w:rPr>
          <w:rStyle w:val="FootnoteReference"/>
        </w:rPr>
        <w:footnoteReference w:id="1"/>
      </w:r>
      <w:r>
        <w:rPr>
          <w:rFonts w:ascii="Times New Roman" w:cs="Times New Roman" w:eastAsia="SimSun" w:hAnsi="Times New Roman"/>
          <w:sz w:val="24"/>
          <w:szCs w:val="24"/>
        </w:rPr>
        <w:t xml:space="preserve">.</w:t>
      </w:r>
    </w:p>
    <w:p w14:paraId="49B1146C">
      <w:pPr>
        <w:spacing w:after="160" w:line="276"/>
        <w:jc w:val="both"/>
      </w:pPr>
      <w:r>
        <w:rPr>
          <w:rFonts w:ascii="Times New Roman" w:cs="Times New Roman" w:eastAsia="SimSun" w:hAnsi="Times New Roman"/>
          <w:sz w:val="24"/>
          <w:szCs w:val="24"/>
        </w:rPr>
        <w:t xml:space="preserve">Governance rules binding every stage: zero fabricated or simulated data (R1); independent re-verification of every result file from disk, never from narrative text (R2); no new stage without the lead's written confirmation (R3); no manual edits to result files — scripts only (R4); pre-registered thresholds, changed only by logged amendment (R5); explicit reporting of failures and zero findings (R6); execution of R by the lead on a locked machine while the analysis session designs, reviews, and documents (R8); and any red-flag finding backed by a direct script-based measurement before it can block a stage (R9).</w:t>
      </w:r>
    </w:p>
    <w:p w14:paraId="7F41F470">
      <w:pPr>
        <w:pStyle w:val="Heading2"/>
        <w:spacing w:after="120" w:before="240"/>
      </w:pPr>
      <w:r>
        <w:rPr>
          <w:rFonts w:ascii="Times New Roman" w:cs="Times New Roman" w:eastAsia="SimSun" w:hAnsi="Times New Roman"/>
          <w:b/>
          <w:bCs/>
          <w:sz w:val="26"/>
          <w:szCs w:val="26"/>
        </w:rPr>
        <w:t xml:space="preserve">1.2 Data sources and acquisition integrity</w:t>
      </w:r>
    </w:p>
    <w:p w14:paraId="70193264">
      <w:pPr>
        <w:spacing w:after="160" w:line="276"/>
        <w:jc w:val="both"/>
      </w:pPr>
      <w:r>
        <w:rPr>
          <w:rFonts w:ascii="Times New Roman" w:cs="Times New Roman" w:eastAsia="SimSun" w:hAnsi="Times New Roman"/>
          <w:sz w:val="24"/>
          <w:szCs w:val="24"/>
        </w:rPr>
        <w:t xml:space="preserve">Public datasets were acquired from GEO/MSigDB and verified byte-level before any analysis: archives larger than 100 MiB were stored as 90 MB split parts and reassembled (copy /b; cat), with per-part and full-reassembly MD5 checks against values computed on the intact archives (logs/checksums_md5.txt; tables/dataset_manifest.tsv). Tar member counts were verified against the source publications: GSE51981 = 148 members (published n = 148; MD5 identical across two independent endpoints); GSE179640 = 63 files for 59 samples (24 author-provided bulk feature-count files are recorded but not analysed); GSE214411 = 39 files (13 samples × 3); GSE7307 = 41 per-sample CEL files selected from the 677-sample series under a frozen GSM list (18 endometriosis, 23 normal endometrium); GSE25628 = 22 CEL; GSE6364 = 37 CEL; GSE11691 = 18 CEL (9 women, paired eutopic/ectopic); GSE120103 = 36 Agilent text files. Two GSE179640 samples (EOR02, EOR04) were excluded at load time under a pre-registered data-integrity rule (GEO features.tsv.gz of 124/140 bytes; guard: &lt;1000 bytes or Read10X failure → exclusion, recorded in results/S2_GSE179640_load_exclusions.csv). PRJNA713993 was downgraded to qualitative supporting evidence (two runs total; Amendment 01-D1) and not downloaded. GSE213216 (Fonseca atlas, &gt;370,000 cells, six author-processed Seurat objects) is audit-only: used for score-level verification without reprocessing, as a stated limitation.</w:t>
      </w:r>
    </w:p>
    <w:p w14:paraId="6E7E151C">
      <w:pPr>
        <w:pStyle w:val="Heading2"/>
        <w:spacing w:after="120" w:before="240"/>
      </w:pPr>
      <w:r>
        <w:rPr>
          <w:rFonts w:ascii="Times New Roman" w:cs="Times New Roman" w:eastAsia="SimSun" w:hAnsi="Times New Roman"/>
          <w:b/>
          <w:bCs/>
          <w:sz w:val="26"/>
          <w:szCs w:val="26"/>
        </w:rPr>
        <w:t xml:space="preserve">1.3 Computational environment and reproducibility</w:t>
      </w:r>
    </w:p>
    <w:p w14:paraId="57BBB53A">
      <w:pPr>
        <w:spacing w:after="160" w:line="276"/>
        <w:jc w:val="both"/>
      </w:pPr>
      <w:r>
        <w:rPr>
          <w:rFonts w:ascii="Times New Roman" w:cs="Times New Roman" w:eastAsia="SimSun" w:hAnsi="Times New Roman"/>
          <w:sz w:val="24"/>
          <w:szCs w:val="24"/>
        </w:rPr>
        <w:t xml:space="preserve">All analyses were executed in R 4.6.1 (Windows 10, 16 GB RAM) under an renv-locked environment (Bioconductor 3.23.1; renv.lock MD5 e119af30f3120d97482c066c2b5b0a01), with Seurat 5.5.1, SeuratObject 5.4.0, harmony 2.0.5, lisi 1.0 (GitHub, SHA a9175563), scDblFinder 1.26.7, oligo 1.76.0, limma 3.68.5, affy 1.90.0, and arrayQualityMetrics 3.68.0. The global seed was 42; every stochastic step records its seed in the script header. Every analysis script is versioned by MD5; every result file is independently re-verified from disk. Non-obvious API calls were verified against the locked package sources before delivery, and every stage was preceded by a smoke test. Long computational stages were executed as checkpointed chains of short-lived R processes (checkpoints under data/processed/tmp_S2_02/, auto-deleted on success), which is mathematically identical to single-process execution with all parameters, seeds, and call arguments unchanged.</w:t>
      </w:r>
    </w:p>
    <w:p w14:paraId="3A3F4DD2">
      <w:pPr>
        <w:pStyle w:val="Heading2"/>
        <w:spacing w:after="120" w:before="240"/>
      </w:pPr>
      <w:r>
        <w:rPr>
          <w:rFonts w:ascii="Times New Roman" w:cs="Times New Roman" w:eastAsia="SimSun" w:hAnsi="Times New Roman"/>
          <w:b/>
          <w:bCs/>
          <w:sz w:val="26"/>
          <w:szCs w:val="26"/>
        </w:rPr>
        <w:t xml:space="preserve">1.4 Single-cell quality control and doublet removal</w:t>
      </w:r>
    </w:p>
    <w:p w14:paraId="6FC74670">
      <w:pPr>
        <w:spacing w:after="160" w:line="276"/>
        <w:jc w:val="both"/>
      </w:pPr>
      <w:r>
        <w:rPr>
          <w:rFonts w:ascii="Times New Roman" w:cs="Times New Roman" w:eastAsia="SimSun" w:hAnsi="Times New Roman"/>
          <w:sz w:val="24"/>
          <w:szCs w:val="24"/>
        </w:rPr>
        <w:t xml:space="preserve">Raw count matrices were filtered per cell to nFeature_RNA 200-6,000, percent mitochondrial reads &lt;=20% (&lt;=10% for GSE214411, per its pre-registered stricter gate), and hemoglobin transcript fraction &lt;5%. scDblFinder (1.26.7) was run per sample with the global seed 42. The audit criterion was pre-registered: any removed-cell population enriched for immune markers or pathways (median log2FC &gt;=1) would trigger biological review before proceeding; the audit returned zero such populations (Section 1.5), so the removed cells are technical artefacts only. These are fixed, universal numerical thresholds applied uniformly, not fitted to a desired outcome; no dataset was re-filtered after inspection of downstream results.</w:t>
      </w:r>
    </w:p>
    <w:p w14:paraId="4D5B9B50">
      <w:pPr>
        <w:pStyle w:val="Heading2"/>
        <w:spacing w:after="120" w:before="240"/>
      </w:pPr>
      <w:r>
        <w:rPr>
          <w:rFonts w:ascii="Times New Roman" w:cs="Times New Roman" w:eastAsia="SimSun" w:hAnsi="Times New Roman"/>
          <w:b/>
          <w:bCs/>
          <w:sz w:val="26"/>
          <w:szCs w:val="26"/>
        </w:rPr>
        <w:t xml:space="preserve">1.5 Biology-protection audit of excluded cells</w:t>
      </w:r>
    </w:p>
    <w:p w14:paraId="48F53258">
      <w:pPr>
        <w:spacing w:after="160" w:line="276"/>
        <w:jc w:val="both"/>
      </w:pPr>
      <w:r>
        <w:rPr>
          <w:rFonts w:ascii="Times New Roman" w:cs="Times New Roman" w:eastAsia="SimSun" w:hAnsi="Times New Roman"/>
          <w:sz w:val="24"/>
          <w:szCs w:val="24"/>
        </w:rPr>
        <w:t xml:space="preserve">To exclude the possibility that quality filtering removed biologically meaningful immune populations, every excluded fraction was profiled against the kept fraction with the immune marker sets used downstream. Zero immune markers or pathways reached the pre-registered alarm threshold (median log2FC &gt;=1 across removed-vs-kept comparisons). The PTPRC (CD45) positivity rule was evaluated per dataset and was FALSE in all three datasets: PTPRC-positive fractions among excluded versus kept cells were 19.0% versus 33.3% (GSE179640), 21.1% versus 19.4% (GSE214411), and 6.7% versus 7.3% (GSE183837). Excluded cells were therefore not enriched for leukocyte identity relative to kept cells, and no rescue of excluded populations was indicated.</w:t>
      </w:r>
    </w:p>
    <w:p w14:paraId="36F1CBAA">
      <w:pPr>
        <w:pStyle w:val="Heading2"/>
        <w:spacing w:after="120" w:before="240"/>
      </w:pPr>
      <w:r>
        <w:rPr>
          <w:rFonts w:ascii="Times New Roman" w:cs="Times New Roman" w:eastAsia="SimSun" w:hAnsi="Times New Roman"/>
          <w:b/>
          <w:bCs/>
          <w:sz w:val="26"/>
          <w:szCs w:val="26"/>
        </w:rPr>
        <w:t xml:space="preserve">1.6 Multi-dataset integration and clustering</w:t>
      </w:r>
    </w:p>
    <w:p w14:paraId="2B21C4E4">
      <w:pPr>
        <w:spacing w:after="160" w:line="276"/>
        <w:jc w:val="both"/>
      </w:pPr>
      <w:r>
        <w:rPr>
          <w:rFonts w:ascii="Times New Roman" w:cs="Times New Roman" w:eastAsia="SimSun" w:hAnsi="Times New Roman"/>
          <w:sz w:val="24"/>
          <w:szCs w:val="24"/>
        </w:rPr>
        <w:t xml:space="preserve">Variable features were selected per dataset with the vst method (n = 2,000) and merged into a union set of 3,193 genes, which was used for scaling (global, all union genes) and principal component analysis (npcs = 50, seed 42). Batch correction used Harmony (2.0.5) with group.by.vars = c("sample","dataset"), theta = c(2,2), dims = 1:30, project.dim = FALSE; integration converged in 10 of 10 iterations with a peak memory footprint of 522.9 MB. Neighbor graphs and clustering (resolution 0.5) were computed on Harmony dimensions 1:30 and yielded 29 clusters. UMAP embeddings were computed for visualization only and did not feed any quantitative gate.</w:t>
      </w:r>
    </w:p>
    <w:p w14:paraId="38B3D8F2">
      <w:pPr>
        <w:pStyle w:val="Heading2"/>
        <w:spacing w:after="120" w:before="240"/>
      </w:pPr>
      <w:r>
        <w:rPr>
          <w:rFonts w:ascii="Times New Roman" w:cs="Times New Roman" w:eastAsia="SimSun" w:hAnsi="Times New Roman"/>
          <w:b/>
          <w:bCs/>
          <w:sz w:val="26"/>
          <w:szCs w:val="26"/>
        </w:rPr>
        <w:t xml:space="preserve">1.7 Cluster annotation and integration acceptance gates</w:t>
      </w:r>
    </w:p>
    <w:p w14:paraId="7C9CC556">
      <w:pPr>
        <w:spacing w:after="160" w:line="276"/>
        <w:jc w:val="both"/>
      </w:pPr>
      <w:r>
        <w:rPr>
          <w:rFonts w:ascii="Times New Roman" w:cs="Times New Roman" w:eastAsia="SimSun" w:hAnsi="Times New Roman"/>
          <w:sz w:val="24"/>
          <w:szCs w:val="24"/>
        </w:rPr>
        <w:t xml:space="preserve">Clusters were annotated against perivascular, stromal, endothelial, epithelial, and immune reference panels from the source publications. Pre-registered acceptance gates: (i) annotation support &gt;=90% of clusters; (ii) cluster-level LISI by sample and dataset; (iii) an exclusivity rule flagging any cluster with &gt;95% of cells from a single sample (minimum n = 500); (iv) review of micro-clusters. Annotation support reached 28/29 clusters = 97%. The single unsupported cluster (cluster 8) had a perivascular-to-stromal marker ratio of 1.017 (near tie) and is treated as stromal-lineage with mixed perivascular signal. cLISI_sample median 4.636 (IQR 3.583) indicates cells of the same cluster mix across samples; cLISI_dataset median 1.393 (IQR 0.897) indicates within-cluster dataset mixing; iLISI_lineage is approximately 1.0 by construction and is reported with that tautology caveat. The exclusivity rule flagged 0 of 26 qualifying clusters (maximum single-sample fraction 0.7208). Micro-clusters 26, 27, and 28 (n = 207, 156, 87) were reviewed: cluster 28 (n = 87; mean nCount 11.374 versus 8.053 elsewhere; percent.mt 6.762 versus 8.116; stromal-panel score 2.6686 versus 2.1842 in other stromal clusters and 0 in non-stromal clusters; 84/87 cells from a single GSE214411 sample) was retained as a genuine high-complexity stromal subpopulation and is carried as a sensitivity consideration into downstream scoring.</w:t>
      </w:r>
    </w:p>
    <w:p w14:paraId="3D29A020">
      <w:pPr>
        <w:pStyle w:val="Heading2"/>
        <w:spacing w:after="120" w:before="240"/>
      </w:pPr>
      <w:r>
        <w:rPr>
          <w:rFonts w:ascii="Times New Roman" w:cs="Times New Roman" w:eastAsia="SimSun" w:hAnsi="Times New Roman"/>
          <w:b/>
          <w:bCs/>
          <w:sz w:val="26"/>
          <w:szCs w:val="26"/>
        </w:rPr>
        <w:t xml:space="preserve">1.8 Bulk microarray processing and quality control</w:t>
      </w:r>
    </w:p>
    <w:p w14:paraId="4E9DC9C0">
      <w:pPr>
        <w:spacing w:after="160" w:line="276"/>
        <w:jc w:val="both"/>
      </w:pPr>
      <w:r>
        <w:rPr>
          <w:rFonts w:ascii="Times New Roman" w:cs="Times New Roman" w:eastAsia="SimSun" w:hAnsi="Times New Roman"/>
          <w:sz w:val="24"/>
          <w:szCs w:val="24"/>
        </w:rPr>
        <w:t xml:space="preserve">Affymetrix CEL files were background-corrected, normalized, and summarized with RMA through oligo (1.76.0) against the correct platform geometry for each cohort; a geometry correction recorded as Amendment F1 established GSE25628 as HG-U133A_2 (GPL571; 22,277 probe sets) rather than HG-U133A. GSE11691 (GPL96, HG-U133A) was never raw-merged with GPL570 cohorts. Agilent GSE120103 files were normalized with neqc (limma 3.68.5): ControlType coding was measured from the files themselves (-1 = 153 negative controls; 0 = 43,376 regular probes; 1 = 1,486 positive controls of 45,015 total), and neqc's control-row behaviour drops control rows from the output, yielding a 43,376 x 31 expression matrix. Quality control used arrayQualityMetrics (3.68.0) on the normalized ExpressionSet with do.logtransform = FALSE (data already log2-scale), producing three per-array statistics: Kolmogorov-Smirnov distance on MA plots, cov on MA plots, and between-array distance from the heatmap. An array is flagged when at least two of the three statistics exceed their cohort-specific thresholds (the pre-registered 2-of-3 rule). Five GSE120103 arrays were excluded by a measured chip-design rule (GE1-v5_95_Feb07; all from Group 2B, reducing 2B to n = 4); the remaining 31 arrays were neqc-normalized. Sample-level condition metadata for all 317 processed arrays is recorded in data/metadata/S1_bulk_conditions.tsv (322 rows including provenance), independently rebuildable by scripts/S2_03_meta_build.R with cell-by-cell comparison against the shipped table.</w:t>
      </w:r>
    </w:p>
    <w:p w14:paraId="7300201C">
      <w:pPr>
        <w:pStyle w:val="Heading2"/>
        <w:spacing w:after="120" w:before="240"/>
      </w:pPr>
      <w:r>
        <w:rPr>
          <w:rFonts w:ascii="Times New Roman" w:cs="Times New Roman" w:eastAsia="SimSun" w:hAnsi="Times New Roman"/>
          <w:b/>
          <w:bCs/>
          <w:sz w:val="26"/>
          <w:szCs w:val="26"/>
        </w:rPr>
        <w:t xml:space="preserve">1.9 Publication figures (display-only)</w:t>
      </w:r>
    </w:p>
    <w:p w14:paraId="6CCC4D74">
      <w:pPr>
        <w:spacing w:after="160" w:line="276"/>
        <w:jc w:val="both"/>
      </w:pPr>
      <w:r>
        <w:rPr>
          <w:rFonts w:ascii="Times New Roman" w:cs="Times New Roman" w:eastAsia="SimSun" w:hAnsi="Times New Roman"/>
          <w:sz w:val="24"/>
          <w:szCs w:val="24"/>
        </w:rPr>
        <w:t xml:space="preserve">All manuscript figures are derived programmatically from verified outputs and are display-only: no figure element participates in any quantitative gate. Per-cohort PCA figures show all arrays, with sample labels restricted to flagged arrays in every cohort (flagged-only labelling), labels placed with edge-clip guards, and a composite plate of all cohorts with a shared legend. Figures are exported as individual panels (PNG and PDF) plus the composite plate.</w:t>
      </w:r>
    </w:p>
    <w:p w14:paraId="11D58A1E">
      <w:pPr>
        <w:pStyle w:val="Heading1"/>
        <w:spacing w:after="160" w:before="320"/>
      </w:pPr>
      <w:r>
        <w:rPr>
          <w:rFonts w:ascii="Times New Roman" w:cs="Times New Roman" w:eastAsia="SimSun" w:hAnsi="Times New Roman"/>
          <w:b/>
          <w:bCs/>
          <w:sz w:val="30"/>
          <w:szCs w:val="30"/>
        </w:rPr>
        <w:t xml:space="preserve">2. Results</w:t>
      </w:r>
    </w:p>
    <w:p w14:paraId="5CA479BE">
      <w:pPr>
        <w:pStyle w:val="Heading2"/>
        <w:spacing w:after="120" w:before="240"/>
      </w:pPr>
      <w:r>
        <w:rPr>
          <w:rFonts w:ascii="Times New Roman" w:cs="Times New Roman" w:eastAsia="SimSun" w:hAnsi="Times New Roman"/>
          <w:b/>
          <w:bCs/>
          <w:sz w:val="26"/>
          <w:szCs w:val="26"/>
        </w:rPr>
        <w:t xml:space="preserve">2.1 Data overview</w:t>
      </w:r>
    </w:p>
    <w:p w14:paraId="43E696F8">
      <w:pPr>
        <w:spacing w:after="160" w:line="276"/>
        <w:jc w:val="both"/>
      </w:pPr>
      <w:r>
        <w:rPr>
          <w:rFonts w:ascii="Times New Roman" w:cs="Times New Roman" w:eastAsia="SimSun" w:hAnsi="Times New Roman"/>
          <w:sz w:val="24"/>
          <w:szCs w:val="24"/>
        </w:rPr>
        <w:t xml:space="preserve">The processed corpus comprises 55 single-cell samples (233,459 cells after quality control) across three 10x endometrium datasets, and 317 processed microarray hybridizations across seven cohorts (286 Affymetrix arrays passing arrayQualityMetrics in six cohorts; 31 Agilent arrays after chip-design exclusions). Cohort roles were fixed in the pre-registered manifest: GSE179640 is the immunotolerant-niche dataset and the closest conceptual neighbour, requiring hormonal covariates and treated-sample sensitivity handling downstream; GSE214411 supplies the N1 control sample, which enters the primary comparison in two pre-registered arms (with and without); GSE7307 enters as a frozen 41-array subset of its 677-sample series with a registered sensitivity analysis excluding it; GSE51981 is the severity-primary cohort; GSE11691 is paired eutopic/ectopic; GSE120103 is the stage-IV replication cohort; GSE213216 is audit-only score-level verification.</w:t>
      </w:r>
    </w:p>
    <w:p w14:paraId="43E8CD64">
      <w:pPr>
        <w:spacing w:after="80" w:before="200"/>
      </w:pPr>
      <w:r>
        <w:rPr>
          <w:rFonts w:ascii="Times New Roman" w:cs="Times New Roman" w:eastAsia="SimSun" w:hAnsi="Times New Roman"/>
          <w:b/>
          <w:bCs/>
          <w:sz w:val="21"/>
          <w:szCs w:val="21"/>
        </w:rPr>
        <w:t xml:space="preserve">Table 1. Processed datasets, platforms, sample counts, and pre-registered roles.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50"/>
        <w:gridCol w:w="2050"/>
        <w:gridCol w:w="1450"/>
        <w:gridCol w:w="3650"/>
      </w:tblGrid>
      <w:tr>
        <w:trPr>
          <w:tblHeader/>
        </w:trPr>
        <w:tc>
          <w:tcPr>
            <w:tcW w:type="dxa" w:w="1850"/>
            <w:shd w:fill="EEF3F6" w:val="clear"/>
            <w:tcMar>
              <w:top w:type="dxa" w:w="80"/>
              <w:left w:type="dxa" w:w="100"/>
              <w:bottom w:type="dxa" w:w="80"/>
              <w:right w:type="dxa" w:w="100"/>
            </w:tcMar>
          </w:tcPr>
          <w:p w14:paraId="6E209730">
            <w:pPr>
              <w:spacing w:after="40" w:line="240"/>
            </w:pPr>
            <w:r>
              <w:rPr>
                <w:rFonts w:ascii="Times New Roman" w:cs="Times New Roman" w:eastAsia="SimSun" w:hAnsi="Times New Roman"/>
                <w:sz w:val="21"/>
                <w:szCs w:val="21"/>
              </w:rPr>
              <w:t xml:space="preserve">Dataset</w:t>
            </w:r>
          </w:p>
        </w:tc>
        <w:tc>
          <w:tcPr>
            <w:tcW w:type="dxa" w:w="2050"/>
            <w:shd w:fill="EEF3F6" w:val="clear"/>
            <w:tcMar>
              <w:top w:type="dxa" w:w="80"/>
              <w:left w:type="dxa" w:w="100"/>
              <w:bottom w:type="dxa" w:w="80"/>
              <w:right w:type="dxa" w:w="100"/>
            </w:tcMar>
          </w:tcPr>
          <w:p w14:paraId="61FBF2DC">
            <w:pPr>
              <w:spacing w:after="40" w:line="240"/>
            </w:pPr>
            <w:r>
              <w:rPr>
                <w:rFonts w:ascii="Times New Roman" w:cs="Times New Roman" w:eastAsia="SimSun" w:hAnsi="Times New Roman"/>
                <w:sz w:val="21"/>
                <w:szCs w:val="21"/>
              </w:rPr>
              <w:t xml:space="preserve">Platform</w:t>
            </w:r>
          </w:p>
        </w:tc>
        <w:tc>
          <w:tcPr>
            <w:tcW w:type="dxa" w:w="1450"/>
            <w:shd w:fill="EEF3F6" w:val="clear"/>
            <w:tcMar>
              <w:top w:type="dxa" w:w="80"/>
              <w:left w:type="dxa" w:w="100"/>
              <w:bottom w:type="dxa" w:w="80"/>
              <w:right w:type="dxa" w:w="100"/>
            </w:tcMar>
          </w:tcPr>
          <w:p w14:paraId="4DB9DEA4">
            <w:pPr>
              <w:spacing w:after="40" w:line="240"/>
            </w:pPr>
            <w:r>
              <w:rPr>
                <w:rFonts w:ascii="Times New Roman" w:cs="Times New Roman" w:eastAsia="SimSun" w:hAnsi="Times New Roman"/>
                <w:sz w:val="21"/>
                <w:szCs w:val="21"/>
              </w:rPr>
              <w:t xml:space="preserve">Samples</w:t>
            </w:r>
          </w:p>
        </w:tc>
        <w:tc>
          <w:tcPr>
            <w:tcW w:type="dxa" w:w="3650"/>
            <w:shd w:fill="EEF3F6" w:val="clear"/>
            <w:tcMar>
              <w:top w:type="dxa" w:w="80"/>
              <w:left w:type="dxa" w:w="100"/>
              <w:bottom w:type="dxa" w:w="80"/>
              <w:right w:type="dxa" w:w="100"/>
            </w:tcMar>
          </w:tcPr>
          <w:p w14:paraId="6BB2F4A8">
            <w:pPr>
              <w:spacing w:after="40" w:line="240"/>
            </w:pPr>
            <w:r>
              <w:rPr>
                <w:rFonts w:ascii="Times New Roman" w:cs="Times New Roman" w:eastAsia="SimSun" w:hAnsi="Times New Roman"/>
                <w:sz w:val="21"/>
                <w:szCs w:val="21"/>
              </w:rPr>
              <w:t xml:space="preserve">Design and role</w:t>
            </w:r>
          </w:p>
        </w:tc>
      </w:tr>
      <w:tr>
        <w:trPr>
          <w:cantSplit/>
        </w:trPr>
        <w:tc>
          <w:tcPr>
            <w:tcW w:type="dxa" w:w="1850"/>
            <w:tcMar>
              <w:top w:type="dxa" w:w="80"/>
              <w:left w:type="dxa" w:w="100"/>
              <w:bottom w:type="dxa" w:w="80"/>
              <w:right w:type="dxa" w:w="100"/>
            </w:tcMar>
          </w:tcPr>
          <w:p w14:paraId="460CA3EC">
            <w:pPr>
              <w:spacing w:after="40" w:line="240"/>
            </w:pPr>
            <w:r>
              <w:rPr>
                <w:rFonts w:ascii="Times New Roman" w:cs="Times New Roman" w:eastAsia="SimSun" w:hAnsi="Times New Roman"/>
                <w:sz w:val="21"/>
                <w:szCs w:val="21"/>
              </w:rPr>
              <w:t xml:space="preserve">GSE179640 (Tan/Flynn)</w:t>
            </w:r>
          </w:p>
        </w:tc>
        <w:tc>
          <w:tcPr>
            <w:tcW w:type="dxa" w:w="2050"/>
            <w:tcMar>
              <w:top w:type="dxa" w:w="80"/>
              <w:left w:type="dxa" w:w="100"/>
              <w:bottom w:type="dxa" w:w="80"/>
              <w:right w:type="dxa" w:w="100"/>
            </w:tcMar>
          </w:tcPr>
          <w:p w14:paraId="2CA748A4">
            <w:pPr>
              <w:spacing w:after="40" w:line="240"/>
            </w:pPr>
            <w:r>
              <w:rPr>
                <w:rFonts w:ascii="Times New Roman" w:cs="Times New Roman" w:eastAsia="SimSun" w:hAnsi="Times New Roman"/>
                <w:sz w:val="21"/>
                <w:szCs w:val="21"/>
              </w:rPr>
              <w:t xml:space="preserve">10x scRNA-seq</w:t>
            </w:r>
          </w:p>
        </w:tc>
        <w:tc>
          <w:tcPr>
            <w:tcW w:type="dxa" w:w="1450"/>
            <w:tcMar>
              <w:top w:type="dxa" w:w="80"/>
              <w:left w:type="dxa" w:w="100"/>
              <w:bottom w:type="dxa" w:w="80"/>
              <w:right w:type="dxa" w:w="100"/>
            </w:tcMar>
          </w:tcPr>
          <w:p w14:paraId="7276558E">
            <w:pPr>
              <w:spacing w:after="40" w:line="240"/>
            </w:pPr>
            <w:r>
              <w:rPr>
                <w:rFonts w:ascii="Times New Roman" w:cs="Times New Roman" w:eastAsia="SimSun" w:hAnsi="Times New Roman"/>
                <w:sz w:val="21"/>
                <w:szCs w:val="21"/>
              </w:rPr>
              <w:t xml:space="preserve">55 of 59 (2 excluded)</w:t>
            </w:r>
          </w:p>
        </w:tc>
        <w:tc>
          <w:tcPr>
            <w:tcW w:type="dxa" w:w="3650"/>
            <w:tcMar>
              <w:top w:type="dxa" w:w="80"/>
              <w:left w:type="dxa" w:w="100"/>
              <w:bottom w:type="dxa" w:w="80"/>
              <w:right w:type="dxa" w:w="100"/>
            </w:tcMar>
          </w:tcPr>
          <w:p w14:paraId="3D267F28">
            <w:pPr>
              <w:spacing w:after="40" w:line="240"/>
            </w:pPr>
            <w:r>
              <w:rPr>
                <w:rFonts w:ascii="Times New Roman" w:cs="Times New Roman" w:eastAsia="SimSun" w:hAnsi="Times New Roman"/>
                <w:sz w:val="21"/>
                <w:szCs w:val="21"/>
              </w:rPr>
              <w:t xml:space="preserve">Immunotolerant niche; hormonal covariate mandatory; treated-exclusion sensitivity arm</w:t>
            </w:r>
          </w:p>
        </w:tc>
      </w:tr>
      <w:tr>
        <w:trPr>
          <w:cantSplit/>
        </w:trPr>
        <w:tc>
          <w:tcPr>
            <w:tcW w:type="dxa" w:w="1850"/>
            <w:tcMar>
              <w:top w:type="dxa" w:w="80"/>
              <w:left w:type="dxa" w:w="100"/>
              <w:bottom w:type="dxa" w:w="80"/>
              <w:right w:type="dxa" w:w="100"/>
            </w:tcMar>
          </w:tcPr>
          <w:p w14:paraId="5D31563E">
            <w:pPr>
              <w:spacing w:after="40" w:line="240"/>
            </w:pPr>
            <w:r>
              <w:rPr>
                <w:rFonts w:ascii="Times New Roman" w:cs="Times New Roman" w:eastAsia="SimSun" w:hAnsi="Times New Roman"/>
                <w:sz w:val="21"/>
                <w:szCs w:val="21"/>
              </w:rPr>
              <w:t xml:space="preserve">GSE214411 (Huang)</w:t>
            </w:r>
          </w:p>
        </w:tc>
        <w:tc>
          <w:tcPr>
            <w:tcW w:type="dxa" w:w="2050"/>
            <w:tcMar>
              <w:top w:type="dxa" w:w="80"/>
              <w:left w:type="dxa" w:w="100"/>
              <w:bottom w:type="dxa" w:w="80"/>
              <w:right w:type="dxa" w:w="100"/>
            </w:tcMar>
          </w:tcPr>
          <w:p w14:paraId="5B1A949C">
            <w:pPr>
              <w:spacing w:after="40" w:line="240"/>
            </w:pPr>
            <w:r>
              <w:rPr>
                <w:rFonts w:ascii="Times New Roman" w:cs="Times New Roman" w:eastAsia="SimSun" w:hAnsi="Times New Roman"/>
                <w:sz w:val="21"/>
                <w:szCs w:val="21"/>
              </w:rPr>
              <w:t xml:space="preserve">10x scRNA-seq</w:t>
            </w:r>
          </w:p>
        </w:tc>
        <w:tc>
          <w:tcPr>
            <w:tcW w:type="dxa" w:w="1450"/>
            <w:tcMar>
              <w:top w:type="dxa" w:w="80"/>
              <w:left w:type="dxa" w:w="100"/>
              <w:bottom w:type="dxa" w:w="80"/>
              <w:right w:type="dxa" w:w="100"/>
            </w:tcMar>
          </w:tcPr>
          <w:p w14:paraId="31BFA6C6">
            <w:pPr>
              <w:spacing w:after="40" w:line="240"/>
            </w:pPr>
            <w:r>
              <w:rPr>
                <w:rFonts w:ascii="Times New Roman" w:cs="Times New Roman" w:eastAsia="SimSun" w:hAnsi="Times New Roman"/>
                <w:sz w:val="21"/>
                <w:szCs w:val="21"/>
              </w:rPr>
              <w:t xml:space="preserve">13 (6 EMS / 7 control)</w:t>
            </w:r>
          </w:p>
        </w:tc>
        <w:tc>
          <w:tcPr>
            <w:tcW w:type="dxa" w:w="3650"/>
            <w:tcMar>
              <w:top w:type="dxa" w:w="80"/>
              <w:left w:type="dxa" w:w="100"/>
              <w:bottom w:type="dxa" w:w="80"/>
              <w:right w:type="dxa" w:w="100"/>
            </w:tcMar>
          </w:tcPr>
          <w:p w14:paraId="738BF6C6">
            <w:pPr>
              <w:spacing w:after="40" w:line="240"/>
            </w:pPr>
            <w:r>
              <w:rPr>
                <w:rFonts w:ascii="Times New Roman" w:cs="Times New Roman" w:eastAsia="SimSun" w:hAnsi="Times New Roman"/>
                <w:sz w:val="21"/>
                <w:szCs w:val="21"/>
              </w:rPr>
              <w:t xml:space="preserve">N1 control enters primary comparison in two arms (with / without)</w:t>
            </w:r>
          </w:p>
        </w:tc>
      </w:tr>
      <w:tr>
        <w:trPr>
          <w:cantSplit/>
        </w:trPr>
        <w:tc>
          <w:tcPr>
            <w:tcW w:type="dxa" w:w="1850"/>
            <w:tcMar>
              <w:top w:type="dxa" w:w="80"/>
              <w:left w:type="dxa" w:w="100"/>
              <w:bottom w:type="dxa" w:w="80"/>
              <w:right w:type="dxa" w:w="100"/>
            </w:tcMar>
          </w:tcPr>
          <w:p w14:paraId="053D232C">
            <w:pPr>
              <w:spacing w:after="40" w:line="240"/>
            </w:pPr>
            <w:r>
              <w:rPr>
                <w:rFonts w:ascii="Times New Roman" w:cs="Times New Roman" w:eastAsia="SimSun" w:hAnsi="Times New Roman"/>
                <w:sz w:val="21"/>
                <w:szCs w:val="21"/>
              </w:rPr>
              <w:t xml:space="preserve">GSE183837 (Lai)</w:t>
            </w:r>
          </w:p>
        </w:tc>
        <w:tc>
          <w:tcPr>
            <w:tcW w:type="dxa" w:w="2050"/>
            <w:tcMar>
              <w:top w:type="dxa" w:w="80"/>
              <w:left w:type="dxa" w:w="100"/>
              <w:bottom w:type="dxa" w:w="80"/>
              <w:right w:type="dxa" w:w="100"/>
            </w:tcMar>
          </w:tcPr>
          <w:p w14:paraId="5A296522">
            <w:pPr>
              <w:spacing w:after="40" w:line="240"/>
            </w:pPr>
            <w:r>
              <w:rPr>
                <w:rFonts w:ascii="Times New Roman" w:cs="Times New Roman" w:eastAsia="SimSun" w:hAnsi="Times New Roman"/>
                <w:sz w:val="21"/>
                <w:szCs w:val="21"/>
              </w:rPr>
              <w:t xml:space="preserve">10x scRNA-seq</w:t>
            </w:r>
          </w:p>
        </w:tc>
        <w:tc>
          <w:tcPr>
            <w:tcW w:type="dxa" w:w="1450"/>
            <w:tcMar>
              <w:top w:type="dxa" w:w="80"/>
              <w:left w:type="dxa" w:w="100"/>
              <w:bottom w:type="dxa" w:w="80"/>
              <w:right w:type="dxa" w:w="100"/>
            </w:tcMar>
          </w:tcPr>
          <w:p w14:paraId="2A50A1DC">
            <w:pPr>
              <w:spacing w:after="40" w:line="240"/>
            </w:pPr>
            <w:r>
              <w:rPr>
                <w:rFonts w:ascii="Times New Roman" w:cs="Times New Roman" w:eastAsia="SimSun" w:hAnsi="Times New Roman"/>
                <w:sz w:val="21"/>
                <w:szCs w:val="21"/>
              </w:rPr>
              <w:t xml:space="preserve">9 (3 Ctrl / 6 RIF at WOI)</w:t>
            </w:r>
          </w:p>
        </w:tc>
        <w:tc>
          <w:tcPr>
            <w:tcW w:type="dxa" w:w="3650"/>
            <w:tcMar>
              <w:top w:type="dxa" w:w="80"/>
              <w:left w:type="dxa" w:w="100"/>
              <w:bottom w:type="dxa" w:w="80"/>
              <w:right w:type="dxa" w:w="100"/>
            </w:tcMar>
          </w:tcPr>
          <w:p w14:paraId="322E8BE4">
            <w:pPr>
              <w:spacing w:after="40" w:line="240"/>
            </w:pPr>
            <w:r>
              <w:rPr>
                <w:rFonts w:ascii="Times New Roman" w:cs="Times New Roman" w:eastAsia="SimSun" w:hAnsi="Times New Roman"/>
                <w:sz w:val="21"/>
                <w:szCs w:val="21"/>
              </w:rPr>
              <w:t xml:space="preserve">Receptive-phase endometrium</w:t>
            </w:r>
          </w:p>
        </w:tc>
      </w:tr>
      <w:tr>
        <w:trPr>
          <w:cantSplit/>
        </w:trPr>
        <w:tc>
          <w:tcPr>
            <w:tcW w:type="dxa" w:w="1850"/>
            <w:tcMar>
              <w:top w:type="dxa" w:w="80"/>
              <w:left w:type="dxa" w:w="100"/>
              <w:bottom w:type="dxa" w:w="80"/>
              <w:right w:type="dxa" w:w="100"/>
            </w:tcMar>
          </w:tcPr>
          <w:p w14:paraId="1656D6C2">
            <w:pPr>
              <w:spacing w:after="40" w:line="240"/>
            </w:pPr>
            <w:r>
              <w:rPr>
                <w:rFonts w:ascii="Times New Roman" w:cs="Times New Roman" w:eastAsia="SimSun" w:hAnsi="Times New Roman"/>
                <w:sz w:val="21"/>
                <w:szCs w:val="21"/>
              </w:rPr>
              <w:t xml:space="preserve">GSE7305</w:t>
            </w:r>
          </w:p>
        </w:tc>
        <w:tc>
          <w:tcPr>
            <w:tcW w:type="dxa" w:w="2050"/>
            <w:tcMar>
              <w:top w:type="dxa" w:w="80"/>
              <w:left w:type="dxa" w:w="100"/>
              <w:bottom w:type="dxa" w:w="80"/>
              <w:right w:type="dxa" w:w="100"/>
            </w:tcMar>
          </w:tcPr>
          <w:p w14:paraId="19D5D576">
            <w:pPr>
              <w:spacing w:after="40" w:line="240"/>
            </w:pPr>
            <w:r>
              <w:rPr>
                <w:rFonts w:ascii="Times New Roman" w:cs="Times New Roman" w:eastAsia="SimSun" w:hAnsi="Times New Roman"/>
                <w:sz w:val="21"/>
                <w:szCs w:val="21"/>
              </w:rPr>
              <w:t xml:space="preserve">HG-U133 Plus 2 (GPL570)</w:t>
            </w:r>
          </w:p>
        </w:tc>
        <w:tc>
          <w:tcPr>
            <w:tcW w:type="dxa" w:w="1450"/>
            <w:tcMar>
              <w:top w:type="dxa" w:w="80"/>
              <w:left w:type="dxa" w:w="100"/>
              <w:bottom w:type="dxa" w:w="80"/>
              <w:right w:type="dxa" w:w="100"/>
            </w:tcMar>
          </w:tcPr>
          <w:p w14:paraId="4E7A3166">
            <w:pPr>
              <w:spacing w:after="40" w:line="240"/>
            </w:pPr>
            <w:r>
              <w:rPr>
                <w:rFonts w:ascii="Times New Roman" w:cs="Times New Roman" w:eastAsia="SimSun" w:hAnsi="Times New Roman"/>
                <w:sz w:val="21"/>
                <w:szCs w:val="21"/>
              </w:rPr>
              <w:t xml:space="preserve">20 (10 / 10)</w:t>
            </w:r>
          </w:p>
        </w:tc>
        <w:tc>
          <w:tcPr>
            <w:tcW w:type="dxa" w:w="3650"/>
            <w:tcMar>
              <w:top w:type="dxa" w:w="80"/>
              <w:left w:type="dxa" w:w="100"/>
              <w:bottom w:type="dxa" w:w="80"/>
              <w:right w:type="dxa" w:w="100"/>
            </w:tcMar>
          </w:tcPr>
          <w:p w14:paraId="41D4DAA2">
            <w:pPr>
              <w:spacing w:after="40" w:line="240"/>
            </w:pPr>
            <w:r>
              <w:rPr>
                <w:rFonts w:ascii="Times New Roman" w:cs="Times New Roman" w:eastAsia="SimSun" w:hAnsi="Times New Roman"/>
                <w:sz w:val="21"/>
                <w:szCs w:val="21"/>
              </w:rPr>
              <w:t xml:space="preserve">Eutopic endometriosis versus normal</w:t>
            </w:r>
          </w:p>
        </w:tc>
      </w:tr>
      <w:tr>
        <w:trPr>
          <w:cantSplit/>
        </w:trPr>
        <w:tc>
          <w:tcPr>
            <w:tcW w:type="dxa" w:w="1850"/>
            <w:tcMar>
              <w:top w:type="dxa" w:w="80"/>
              <w:left w:type="dxa" w:w="100"/>
              <w:bottom w:type="dxa" w:w="80"/>
              <w:right w:type="dxa" w:w="100"/>
            </w:tcMar>
          </w:tcPr>
          <w:p w14:paraId="7AD12F3C">
            <w:pPr>
              <w:spacing w:after="40" w:line="240"/>
            </w:pPr>
            <w:r>
              <w:rPr>
                <w:rFonts w:ascii="Times New Roman" w:cs="Times New Roman" w:eastAsia="SimSun" w:hAnsi="Times New Roman"/>
                <w:sz w:val="21"/>
                <w:szCs w:val="21"/>
              </w:rPr>
              <w:t xml:space="preserve">GSE6364</w:t>
            </w:r>
          </w:p>
        </w:tc>
        <w:tc>
          <w:tcPr>
            <w:tcW w:type="dxa" w:w="2050"/>
            <w:tcMar>
              <w:top w:type="dxa" w:w="80"/>
              <w:left w:type="dxa" w:w="100"/>
              <w:bottom w:type="dxa" w:w="80"/>
              <w:right w:type="dxa" w:w="100"/>
            </w:tcMar>
          </w:tcPr>
          <w:p w14:paraId="5FA78184">
            <w:pPr>
              <w:spacing w:after="40" w:line="240"/>
            </w:pPr>
            <w:r>
              <w:rPr>
                <w:rFonts w:ascii="Times New Roman" w:cs="Times New Roman" w:eastAsia="SimSun" w:hAnsi="Times New Roman"/>
                <w:sz w:val="21"/>
                <w:szCs w:val="21"/>
              </w:rPr>
              <w:t xml:space="preserve">HG-U133 Plus 2 (GPL570)</w:t>
            </w:r>
          </w:p>
        </w:tc>
        <w:tc>
          <w:tcPr>
            <w:tcW w:type="dxa" w:w="1450"/>
            <w:tcMar>
              <w:top w:type="dxa" w:w="80"/>
              <w:left w:type="dxa" w:w="100"/>
              <w:bottom w:type="dxa" w:w="80"/>
              <w:right w:type="dxa" w:w="100"/>
            </w:tcMar>
          </w:tcPr>
          <w:p w14:paraId="702B2FCC">
            <w:pPr>
              <w:spacing w:after="40" w:line="240"/>
            </w:pPr>
            <w:r>
              <w:rPr>
                <w:rFonts w:ascii="Times New Roman" w:cs="Times New Roman" w:eastAsia="SimSun" w:hAnsi="Times New Roman"/>
                <w:sz w:val="21"/>
                <w:szCs w:val="21"/>
              </w:rPr>
              <w:t xml:space="preserve">37 (21 / 16)</w:t>
            </w:r>
          </w:p>
        </w:tc>
        <w:tc>
          <w:tcPr>
            <w:tcW w:type="dxa" w:w="3650"/>
            <w:tcMar>
              <w:top w:type="dxa" w:w="80"/>
              <w:left w:type="dxa" w:w="100"/>
              <w:bottom w:type="dxa" w:w="80"/>
              <w:right w:type="dxa" w:w="100"/>
            </w:tcMar>
          </w:tcPr>
          <w:p w14:paraId="0BAB795E">
            <w:pPr>
              <w:spacing w:after="40" w:line="240"/>
            </w:pPr>
            <w:r>
              <w:rPr>
                <w:rFonts w:ascii="Times New Roman" w:cs="Times New Roman" w:eastAsia="SimSun" w:hAnsi="Times New Roman"/>
                <w:sz w:val="21"/>
                <w:szCs w:val="21"/>
              </w:rPr>
              <w:t xml:space="preserve">Menstrual-phase covariate pre-registered</w:t>
            </w:r>
          </w:p>
        </w:tc>
      </w:tr>
      <w:tr>
        <w:trPr>
          <w:cantSplit/>
        </w:trPr>
        <w:tc>
          <w:tcPr>
            <w:tcW w:type="dxa" w:w="1850"/>
            <w:tcMar>
              <w:top w:type="dxa" w:w="80"/>
              <w:left w:type="dxa" w:w="100"/>
              <w:bottom w:type="dxa" w:w="80"/>
              <w:right w:type="dxa" w:w="100"/>
            </w:tcMar>
          </w:tcPr>
          <w:p w14:paraId="3ED8A536">
            <w:pPr>
              <w:spacing w:after="40" w:line="240"/>
            </w:pPr>
            <w:r>
              <w:rPr>
                <w:rFonts w:ascii="Times New Roman" w:cs="Times New Roman" w:eastAsia="SimSun" w:hAnsi="Times New Roman"/>
                <w:sz w:val="21"/>
                <w:szCs w:val="21"/>
              </w:rPr>
              <w:t xml:space="preserve">GSE25628</w:t>
            </w:r>
          </w:p>
        </w:tc>
        <w:tc>
          <w:tcPr>
            <w:tcW w:type="dxa" w:w="2050"/>
            <w:tcMar>
              <w:top w:type="dxa" w:w="80"/>
              <w:left w:type="dxa" w:w="100"/>
              <w:bottom w:type="dxa" w:w="80"/>
              <w:right w:type="dxa" w:w="100"/>
            </w:tcMar>
          </w:tcPr>
          <w:p w14:paraId="10478AE8">
            <w:pPr>
              <w:spacing w:after="40" w:line="240"/>
            </w:pPr>
            <w:r>
              <w:rPr>
                <w:rFonts w:ascii="Times New Roman" w:cs="Times New Roman" w:eastAsia="SimSun" w:hAnsi="Times New Roman"/>
                <w:sz w:val="21"/>
                <w:szCs w:val="21"/>
              </w:rPr>
              <w:t xml:space="preserve">HG-U133A_2 (GPL571)</w:t>
            </w:r>
          </w:p>
        </w:tc>
        <w:tc>
          <w:tcPr>
            <w:tcW w:type="dxa" w:w="1450"/>
            <w:tcMar>
              <w:top w:type="dxa" w:w="80"/>
              <w:left w:type="dxa" w:w="100"/>
              <w:bottom w:type="dxa" w:w="80"/>
              <w:right w:type="dxa" w:w="100"/>
            </w:tcMar>
          </w:tcPr>
          <w:p w14:paraId="0EECBE5E">
            <w:pPr>
              <w:spacing w:after="40" w:line="240"/>
            </w:pPr>
            <w:r>
              <w:rPr>
                <w:rFonts w:ascii="Times New Roman" w:cs="Times New Roman" w:eastAsia="SimSun" w:hAnsi="Times New Roman"/>
                <w:sz w:val="21"/>
                <w:szCs w:val="21"/>
              </w:rPr>
              <w:t xml:space="preserve">22 (8 / 8 / 6)</w:t>
            </w:r>
          </w:p>
        </w:tc>
        <w:tc>
          <w:tcPr>
            <w:tcW w:type="dxa" w:w="3650"/>
            <w:tcMar>
              <w:top w:type="dxa" w:w="80"/>
              <w:left w:type="dxa" w:w="100"/>
              <w:bottom w:type="dxa" w:w="80"/>
              <w:right w:type="dxa" w:w="100"/>
            </w:tcMar>
          </w:tcPr>
          <w:p w14:paraId="55FA7512">
            <w:pPr>
              <w:spacing w:after="40" w:line="240"/>
            </w:pPr>
            <w:r>
              <w:rPr>
                <w:rFonts w:ascii="Times New Roman" w:cs="Times New Roman" w:eastAsia="SimSun" w:hAnsi="Times New Roman"/>
                <w:sz w:val="21"/>
                <w:szCs w:val="21"/>
              </w:rPr>
              <w:t xml:space="preserve">Unpaired only; geometry corrected (F1)</w:t>
            </w:r>
          </w:p>
        </w:tc>
      </w:tr>
      <w:tr>
        <w:trPr>
          <w:cantSplit/>
        </w:trPr>
        <w:tc>
          <w:tcPr>
            <w:tcW w:type="dxa" w:w="1850"/>
            <w:tcMar>
              <w:top w:type="dxa" w:w="80"/>
              <w:left w:type="dxa" w:w="100"/>
              <w:bottom w:type="dxa" w:w="80"/>
              <w:right w:type="dxa" w:w="100"/>
            </w:tcMar>
          </w:tcPr>
          <w:p w14:paraId="5F26BC54">
            <w:pPr>
              <w:spacing w:after="40" w:line="240"/>
            </w:pPr>
            <w:r>
              <w:rPr>
                <w:rFonts w:ascii="Times New Roman" w:cs="Times New Roman" w:eastAsia="SimSun" w:hAnsi="Times New Roman"/>
                <w:sz w:val="21"/>
                <w:szCs w:val="21"/>
              </w:rPr>
              <w:t xml:space="preserve">GSE7307</w:t>
            </w:r>
          </w:p>
        </w:tc>
        <w:tc>
          <w:tcPr>
            <w:tcW w:type="dxa" w:w="2050"/>
            <w:tcMar>
              <w:top w:type="dxa" w:w="80"/>
              <w:left w:type="dxa" w:w="100"/>
              <w:bottom w:type="dxa" w:w="80"/>
              <w:right w:type="dxa" w:w="100"/>
            </w:tcMar>
          </w:tcPr>
          <w:p w14:paraId="379A5F9A">
            <w:pPr>
              <w:spacing w:after="40" w:line="240"/>
            </w:pPr>
            <w:r>
              <w:rPr>
                <w:rFonts w:ascii="Times New Roman" w:cs="Times New Roman" w:eastAsia="SimSun" w:hAnsi="Times New Roman"/>
                <w:sz w:val="21"/>
                <w:szCs w:val="21"/>
              </w:rPr>
              <w:t xml:space="preserve">HG-U133 Plus 2 (GPL570)</w:t>
            </w:r>
          </w:p>
        </w:tc>
        <w:tc>
          <w:tcPr>
            <w:tcW w:type="dxa" w:w="1450"/>
            <w:tcMar>
              <w:top w:type="dxa" w:w="80"/>
              <w:left w:type="dxa" w:w="100"/>
              <w:bottom w:type="dxa" w:w="80"/>
              <w:right w:type="dxa" w:w="100"/>
            </w:tcMar>
          </w:tcPr>
          <w:p w14:paraId="6B4A60D6">
            <w:pPr>
              <w:spacing w:after="40" w:line="240"/>
            </w:pPr>
            <w:r>
              <w:rPr>
                <w:rFonts w:ascii="Times New Roman" w:cs="Times New Roman" w:eastAsia="SimSun" w:hAnsi="Times New Roman"/>
                <w:sz w:val="21"/>
                <w:szCs w:val="21"/>
              </w:rPr>
              <w:t xml:space="preserve">41 (18 / 23)</w:t>
            </w:r>
          </w:p>
        </w:tc>
        <w:tc>
          <w:tcPr>
            <w:tcW w:type="dxa" w:w="3650"/>
            <w:tcMar>
              <w:top w:type="dxa" w:w="80"/>
              <w:left w:type="dxa" w:w="100"/>
              <w:bottom w:type="dxa" w:w="80"/>
              <w:right w:type="dxa" w:w="100"/>
            </w:tcMar>
          </w:tcPr>
          <w:p w14:paraId="7C78EE4C">
            <w:pPr>
              <w:spacing w:after="40" w:line="240"/>
            </w:pPr>
            <w:r>
              <w:rPr>
                <w:rFonts w:ascii="Times New Roman" w:cs="Times New Roman" w:eastAsia="SimSun" w:hAnsi="Times New Roman"/>
                <w:sz w:val="21"/>
                <w:szCs w:val="21"/>
              </w:rPr>
              <w:t xml:space="preserve">Frozen subset of 677-sample series; sans-cohort sensitivity arm</w:t>
            </w:r>
          </w:p>
        </w:tc>
      </w:tr>
      <w:tr>
        <w:trPr>
          <w:cantSplit/>
        </w:trPr>
        <w:tc>
          <w:tcPr>
            <w:tcW w:type="dxa" w:w="1850"/>
            <w:tcMar>
              <w:top w:type="dxa" w:w="80"/>
              <w:left w:type="dxa" w:w="100"/>
              <w:bottom w:type="dxa" w:w="80"/>
              <w:right w:type="dxa" w:w="100"/>
            </w:tcMar>
          </w:tcPr>
          <w:p w14:paraId="36D52E16">
            <w:pPr>
              <w:spacing w:after="40" w:line="240"/>
            </w:pPr>
            <w:r>
              <w:rPr>
                <w:rFonts w:ascii="Times New Roman" w:cs="Times New Roman" w:eastAsia="SimSun" w:hAnsi="Times New Roman"/>
                <w:sz w:val="21"/>
                <w:szCs w:val="21"/>
              </w:rPr>
              <w:t xml:space="preserve">GSE51981</w:t>
            </w:r>
          </w:p>
        </w:tc>
        <w:tc>
          <w:tcPr>
            <w:tcW w:type="dxa" w:w="2050"/>
            <w:tcMar>
              <w:top w:type="dxa" w:w="80"/>
              <w:left w:type="dxa" w:w="100"/>
              <w:bottom w:type="dxa" w:w="80"/>
              <w:right w:type="dxa" w:w="100"/>
            </w:tcMar>
          </w:tcPr>
          <w:p w14:paraId="3934C50E">
            <w:pPr>
              <w:spacing w:after="40" w:line="240"/>
            </w:pPr>
            <w:r>
              <w:rPr>
                <w:rFonts w:ascii="Times New Roman" w:cs="Times New Roman" w:eastAsia="SimSun" w:hAnsi="Times New Roman"/>
                <w:sz w:val="21"/>
                <w:szCs w:val="21"/>
              </w:rPr>
              <w:t xml:space="preserve">HG-U133 Plus 2 (GPL570)</w:t>
            </w:r>
          </w:p>
        </w:tc>
        <w:tc>
          <w:tcPr>
            <w:tcW w:type="dxa" w:w="1450"/>
            <w:tcMar>
              <w:top w:type="dxa" w:w="80"/>
              <w:left w:type="dxa" w:w="100"/>
              <w:bottom w:type="dxa" w:w="80"/>
              <w:right w:type="dxa" w:w="100"/>
            </w:tcMar>
          </w:tcPr>
          <w:p w14:paraId="3E78BBC0">
            <w:pPr>
              <w:spacing w:after="40" w:line="240"/>
            </w:pPr>
            <w:r>
              <w:rPr>
                <w:rFonts w:ascii="Times New Roman" w:cs="Times New Roman" w:eastAsia="SimSun" w:hAnsi="Times New Roman"/>
                <w:sz w:val="21"/>
                <w:szCs w:val="21"/>
              </w:rPr>
              <w:t xml:space="preserve">148</w:t>
            </w:r>
          </w:p>
        </w:tc>
        <w:tc>
          <w:tcPr>
            <w:tcW w:type="dxa" w:w="3650"/>
            <w:tcMar>
              <w:top w:type="dxa" w:w="80"/>
              <w:left w:type="dxa" w:w="100"/>
              <w:bottom w:type="dxa" w:w="80"/>
              <w:right w:type="dxa" w:w="100"/>
            </w:tcMar>
          </w:tcPr>
          <w:p w14:paraId="0F5B36A8">
            <w:pPr>
              <w:spacing w:after="40" w:line="240"/>
            </w:pPr>
            <w:r>
              <w:rPr>
                <w:rFonts w:ascii="Times New Roman" w:cs="Times New Roman" w:eastAsia="SimSun" w:hAnsi="Times New Roman"/>
                <w:sz w:val="21"/>
                <w:szCs w:val="21"/>
              </w:rPr>
              <w:t xml:space="preserve">Severity-primary cohort; borderline-pair sensitivity arm</w:t>
            </w:r>
          </w:p>
        </w:tc>
      </w:tr>
      <w:tr>
        <w:trPr>
          <w:cantSplit/>
        </w:trPr>
        <w:tc>
          <w:tcPr>
            <w:tcW w:type="dxa" w:w="1850"/>
            <w:tcMar>
              <w:top w:type="dxa" w:w="80"/>
              <w:left w:type="dxa" w:w="100"/>
              <w:bottom w:type="dxa" w:w="80"/>
              <w:right w:type="dxa" w:w="100"/>
            </w:tcMar>
          </w:tcPr>
          <w:p w14:paraId="2CE6F132">
            <w:pPr>
              <w:spacing w:after="40" w:line="240"/>
            </w:pPr>
            <w:r>
              <w:rPr>
                <w:rFonts w:ascii="Times New Roman" w:cs="Times New Roman" w:eastAsia="SimSun" w:hAnsi="Times New Roman"/>
                <w:sz w:val="21"/>
                <w:szCs w:val="21"/>
              </w:rPr>
              <w:t xml:space="preserve">GSE11691</w:t>
            </w:r>
          </w:p>
        </w:tc>
        <w:tc>
          <w:tcPr>
            <w:tcW w:type="dxa" w:w="2050"/>
            <w:tcMar>
              <w:top w:type="dxa" w:w="80"/>
              <w:left w:type="dxa" w:w="100"/>
              <w:bottom w:type="dxa" w:w="80"/>
              <w:right w:type="dxa" w:w="100"/>
            </w:tcMar>
          </w:tcPr>
          <w:p w14:paraId="7AC29064">
            <w:pPr>
              <w:spacing w:after="40" w:line="240"/>
            </w:pPr>
            <w:r>
              <w:rPr>
                <w:rFonts w:ascii="Times New Roman" w:cs="Times New Roman" w:eastAsia="SimSun" w:hAnsi="Times New Roman"/>
                <w:sz w:val="21"/>
                <w:szCs w:val="21"/>
              </w:rPr>
              <w:t xml:space="preserve">HG-U133A (GPL96)</w:t>
            </w:r>
          </w:p>
        </w:tc>
        <w:tc>
          <w:tcPr>
            <w:tcW w:type="dxa" w:w="1450"/>
            <w:tcMar>
              <w:top w:type="dxa" w:w="80"/>
              <w:left w:type="dxa" w:w="100"/>
              <w:bottom w:type="dxa" w:w="80"/>
              <w:right w:type="dxa" w:w="100"/>
            </w:tcMar>
          </w:tcPr>
          <w:p w14:paraId="6D5A7AB8">
            <w:pPr>
              <w:spacing w:after="40" w:line="240"/>
            </w:pPr>
            <w:r>
              <w:rPr>
                <w:rFonts w:ascii="Times New Roman" w:cs="Times New Roman" w:eastAsia="SimSun" w:hAnsi="Times New Roman"/>
                <w:sz w:val="21"/>
                <w:szCs w:val="21"/>
              </w:rPr>
              <w:t xml:space="preserve">18 (9 women, paired)</w:t>
            </w:r>
          </w:p>
        </w:tc>
        <w:tc>
          <w:tcPr>
            <w:tcW w:type="dxa" w:w="3650"/>
            <w:tcMar>
              <w:top w:type="dxa" w:w="80"/>
              <w:left w:type="dxa" w:w="100"/>
              <w:bottom w:type="dxa" w:w="80"/>
              <w:right w:type="dxa" w:w="100"/>
            </w:tcMar>
          </w:tcPr>
          <w:p w14:paraId="5D1B06CE">
            <w:pPr>
              <w:spacing w:after="40" w:line="240"/>
            </w:pPr>
            <w:r>
              <w:rPr>
                <w:rFonts w:ascii="Times New Roman" w:cs="Times New Roman" w:eastAsia="SimSun" w:hAnsi="Times New Roman"/>
                <w:sz w:val="21"/>
                <w:szCs w:val="21"/>
              </w:rPr>
              <w:t xml:space="preserve">Paired eutopic/ectopic; never raw-merged with GPL570</w:t>
            </w:r>
          </w:p>
        </w:tc>
      </w:tr>
      <w:tr>
        <w:trPr>
          <w:cantSplit/>
        </w:trPr>
        <w:tc>
          <w:tcPr>
            <w:tcW w:type="dxa" w:w="1850"/>
            <w:tcMar>
              <w:top w:type="dxa" w:w="80"/>
              <w:left w:type="dxa" w:w="100"/>
              <w:bottom w:type="dxa" w:w="80"/>
              <w:right w:type="dxa" w:w="100"/>
            </w:tcMar>
          </w:tcPr>
          <w:p w14:paraId="0CAEFE12">
            <w:pPr>
              <w:spacing w:after="40" w:line="240"/>
            </w:pPr>
            <w:r>
              <w:rPr>
                <w:rFonts w:ascii="Times New Roman" w:cs="Times New Roman" w:eastAsia="SimSun" w:hAnsi="Times New Roman"/>
                <w:sz w:val="21"/>
                <w:szCs w:val="21"/>
              </w:rPr>
              <w:t xml:space="preserve">GSE120103</w:t>
            </w:r>
          </w:p>
        </w:tc>
        <w:tc>
          <w:tcPr>
            <w:tcW w:type="dxa" w:w="2050"/>
            <w:tcMar>
              <w:top w:type="dxa" w:w="80"/>
              <w:left w:type="dxa" w:w="100"/>
              <w:bottom w:type="dxa" w:w="80"/>
              <w:right w:type="dxa" w:w="100"/>
            </w:tcMar>
          </w:tcPr>
          <w:p w14:paraId="5E59B894">
            <w:pPr>
              <w:spacing w:after="40" w:line="240"/>
            </w:pPr>
            <w:r>
              <w:rPr>
                <w:rFonts w:ascii="Times New Roman" w:cs="Times New Roman" w:eastAsia="SimSun" w:hAnsi="Times New Roman"/>
                <w:sz w:val="21"/>
                <w:szCs w:val="21"/>
              </w:rPr>
              <w:t xml:space="preserve">Agilent GE1-v5_95_Feb07</w:t>
            </w:r>
          </w:p>
        </w:tc>
        <w:tc>
          <w:tcPr>
            <w:tcW w:type="dxa" w:w="1450"/>
            <w:tcMar>
              <w:top w:type="dxa" w:w="80"/>
              <w:left w:type="dxa" w:w="100"/>
              <w:bottom w:type="dxa" w:w="80"/>
              <w:right w:type="dxa" w:w="100"/>
            </w:tcMar>
          </w:tcPr>
          <w:p w14:paraId="5AFEF016">
            <w:pPr>
              <w:spacing w:after="40" w:line="240"/>
            </w:pPr>
            <w:r>
              <w:rPr>
                <w:rFonts w:ascii="Times New Roman" w:cs="Times New Roman" w:eastAsia="SimSun" w:hAnsi="Times New Roman"/>
                <w:sz w:val="21"/>
                <w:szCs w:val="21"/>
              </w:rPr>
              <w:t xml:space="preserve">31 (9 / 9 / 9 / 4)</w:t>
            </w:r>
          </w:p>
        </w:tc>
        <w:tc>
          <w:tcPr>
            <w:tcW w:type="dxa" w:w="3650"/>
            <w:tcMar>
              <w:top w:type="dxa" w:w="80"/>
              <w:left w:type="dxa" w:w="100"/>
              <w:bottom w:type="dxa" w:w="80"/>
              <w:right w:type="dxa" w:w="100"/>
            </w:tcMar>
          </w:tcPr>
          <w:p w14:paraId="44B29C76">
            <w:pPr>
              <w:spacing w:after="40" w:line="240"/>
            </w:pPr>
            <w:r>
              <w:rPr>
                <w:rFonts w:ascii="Times New Roman" w:cs="Times New Roman" w:eastAsia="SimSun" w:hAnsi="Times New Roman"/>
                <w:sz w:val="21"/>
                <w:szCs w:val="21"/>
              </w:rPr>
              <w:t xml:space="preserve">Stage-IV replication; 5 arrays excluded by measured chip design</w:t>
            </w:r>
          </w:p>
        </w:tc>
      </w:tr>
    </w:tbl>
    <w:p w14:paraId="519C108C">
      <w:pPr>
        <w:spacing w:after="120"/>
      </w:pPr>
      <w:r>
        <w:rPr>
          <w:rFonts w:ascii="Times New Roman" w:cs="Times New Roman" w:eastAsia="SimSun" w:hAnsi="Times New Roman"/>
          <w:i/>
          <w:iCs/>
          <w:color w:val="5A6B72"/>
          <w:sz w:val="21"/>
          <w:szCs w:val="21"/>
        </w:rPr>
        <w:t xml:space="preserve">EMS = endometriosis; Ctrl = control; RIF = repeated implantation failure; WOI = window of implantation. Sample counts are post-exclusion processed counts verified from disk.</w:t>
      </w:r>
    </w:p>
    <w:p w14:paraId="74B8DB9A">
      <w:pPr>
        <w:pStyle w:val="Heading2"/>
        <w:spacing w:after="120" w:before="240"/>
      </w:pPr>
      <w:r>
        <w:rPr>
          <w:rFonts w:ascii="Times New Roman" w:cs="Times New Roman" w:eastAsia="SimSun" w:hAnsi="Times New Roman"/>
          <w:b/>
          <w:bCs/>
          <w:sz w:val="26"/>
          <w:szCs w:val="26"/>
        </w:rPr>
        <w:t xml:space="preserve">2.2 Single-cell quality control and integration</w:t>
      </w:r>
    </w:p>
    <w:p w14:paraId="66F727EC">
      <w:pPr>
        <w:spacing w:after="160" w:line="276"/>
        <w:jc w:val="both"/>
      </w:pPr>
      <w:r>
        <w:rPr>
          <w:rFonts w:ascii="Times New Roman" w:cs="Times New Roman" w:eastAsia="SimSun" w:hAnsi="Times New Roman"/>
          <w:sz w:val="24"/>
          <w:szCs w:val="24"/>
        </w:rPr>
        <w:t xml:space="preserve">After uniform pre-filtering and scDblFinder doublet removal, 233,459 of 383,144 raw cells were retained (60.9% overall): GSE179640 109,398 of 159,834 (68.4%), GSE214411 83,260 of 155,361 (53.6%), and GSE183837 40,801 of 67,949 (60.0%). Per-sample doublet rates were within the expected range for 10x data (GSE179640 3.85-12.79%; GSE214411 8.17-15.04%). The biology-protection audit found zero immune markers or pathways enriched among excluded cells at the pre-registered threshold, and the PTPRC positivity rule was FALSE in all three datasets (excluded versus kept: 19.0%/33.3%, 21.1%/19.4%, 6.7%/7.3%), so no biologically meaningful immune population was lost to filtering. Integration on the 3,193-gene union variable set with Harmony (theta = c(2,2) over sample and dataset, dims 1:30) converged in 10 of 10 iterations at a 522.9 MB peak. Clustering at resolution 0.5 yielded 29 clusters with 28/29 annotated (97% support, gate &gt;=90%); the unsupported cluster 8 carries a near-tie perivascular/stromal ratio (1.017). Mixing diagnostics: cLISI_sample median 4.636 (IQR 3.583); cLISI_dataset median 1.393 (IQR 0.897); iLISI_lineage approximately 1.0 (near-tautological, reported as such). No cluster met the exclusivity flag (0 of 26 qualifying; maximum single-sample fraction 0.7208). Micro-clusters 26/27/28 (n = 207/156/87) were reviewed; cluster 28 is a high-complexity stromal subpopulation dominated by one GSE214411 sample (84/87 cells) and is carried as a sensitivity consideration.</w:t>
      </w:r>
    </w:p>
    <w:p w14:paraId="5B2EF602">
      <w:pPr>
        <w:pStyle w:val="Heading2"/>
        <w:spacing w:after="120" w:before="240"/>
      </w:pPr>
      <w:r>
        <w:rPr>
          <w:rFonts w:ascii="Times New Roman" w:cs="Times New Roman" w:eastAsia="SimSun" w:hAnsi="Times New Roman"/>
          <w:b/>
          <w:bCs/>
          <w:sz w:val="26"/>
          <w:szCs w:val="26"/>
        </w:rPr>
        <w:t xml:space="preserve">2.3 Bulk microarray quality control</w:t>
      </w:r>
    </w:p>
    <w:p w14:paraId="333820E0">
      <w:pPr>
        <w:spacing w:after="160" w:line="276"/>
        <w:jc w:val="both"/>
      </w:pPr>
      <w:r>
        <w:rPr>
          <w:rFonts w:ascii="Times New Roman" w:cs="Times New Roman" w:eastAsia="SimSun" w:hAnsi="Times New Roman"/>
          <w:sz w:val="24"/>
          <w:szCs w:val="24"/>
        </w:rPr>
        <w:t xml:space="preserve">All 286 Affymetrix arrays across six cohorts and all 31 eligible Agilent arrays passed file-level checks and entered arrayQualityMetrics on normalized, already-log2 data (do.logtransform = FALSE). Five arrays were flagged under the pre-registered 2-of-3 rule (Table 2); every flagged array failed exactly two metrics (KS distance and between-array heatmap distance), while all MA-plot cov values remained below 0.15. Two flagged arrays are knife-edge calls: GSE7307 GSM176240 exceeds its KS threshold by 0.0028 (0.0421 versus 0.0393), and GSE51981 GSM1256659_134 exceeds its heatmap threshold by 0.4% (107.617 versus 107.224); both are retained in primary analyses with pre-registered sensitivity arms. For GSE120103, measured chip design excluded five Group 2B arrays (GE1-v5_95_Feb07; 2B reduced to n = 4), and neqc produced a 43,376 x 31 matrix from measured ControlType coding. The corrected GSE25628 geometry (HG-U133A_2, GPL571; 22,277 probe sets) was applied to all 22 arrays. Sample-condition metadata (322 rows) is independently rebuildable from GEO series matrices by scripts/S2_03_meta_build.R, which re-derives the shipped table cell-by-cell.</w:t>
      </w:r>
    </w:p>
    <w:p w14:paraId="66067396">
      <w:pPr>
        <w:spacing w:after="80" w:before="200"/>
      </w:pPr>
      <w:r>
        <w:rPr>
          <w:rFonts w:ascii="Times New Roman" w:cs="Times New Roman" w:eastAsia="SimSun" w:hAnsi="Times New Roman"/>
          <w:b/>
          <w:bCs/>
          <w:sz w:val="21"/>
          <w:szCs w:val="21"/>
        </w:rPr>
        <w:t xml:space="preserve">Table 2. Arrays flagged by the pre-registered 2-of-3 rule (KS = Kolmogorov-Smirnov distance on MA plots; HM = between-array distance from the heatmap).</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1300"/>
        <w:gridCol w:w="1850"/>
        <w:gridCol w:w="1850"/>
        <w:gridCol w:w="2050"/>
        <w:gridCol w:w="1050"/>
      </w:tblGrid>
      <w:tr>
        <w:trPr>
          <w:tblHeader/>
        </w:trPr>
        <w:tc>
          <w:tcPr>
            <w:tcW w:type="dxa" w:w="1300"/>
            <w:shd w:fill="EEF3F6" w:val="clear"/>
            <w:tcMar>
              <w:top w:type="dxa" w:w="80"/>
              <w:left w:type="dxa" w:w="100"/>
              <w:bottom w:type="dxa" w:w="80"/>
              <w:right w:type="dxa" w:w="100"/>
            </w:tcMar>
          </w:tcPr>
          <w:p w14:paraId="4B38D6CC">
            <w:pPr>
              <w:spacing w:after="40" w:line="240"/>
            </w:pPr>
            <w:r>
              <w:rPr>
                <w:rFonts w:ascii="Times New Roman" w:cs="Times New Roman" w:eastAsia="SimSun" w:hAnsi="Times New Roman"/>
                <w:sz w:val="21"/>
                <w:szCs w:val="21"/>
              </w:rPr>
              <w:t xml:space="preserve">Cohort</w:t>
            </w:r>
          </w:p>
        </w:tc>
        <w:tc>
          <w:tcPr>
            <w:tcW w:type="dxa" w:w="1850"/>
            <w:shd w:fill="EEF3F6" w:val="clear"/>
            <w:tcMar>
              <w:top w:type="dxa" w:w="80"/>
              <w:left w:type="dxa" w:w="100"/>
              <w:bottom w:type="dxa" w:w="80"/>
              <w:right w:type="dxa" w:w="100"/>
            </w:tcMar>
          </w:tcPr>
          <w:p w14:paraId="73E8071E">
            <w:pPr>
              <w:spacing w:after="40" w:line="240"/>
            </w:pPr>
            <w:r>
              <w:rPr>
                <w:rFonts w:ascii="Times New Roman" w:cs="Times New Roman" w:eastAsia="SimSun" w:hAnsi="Times New Roman"/>
                <w:sz w:val="21"/>
                <w:szCs w:val="21"/>
              </w:rPr>
              <w:t xml:space="preserve">Array</w:t>
            </w:r>
          </w:p>
        </w:tc>
        <w:tc>
          <w:tcPr>
            <w:tcW w:type="dxa" w:w="1850"/>
            <w:shd w:fill="EEF3F6" w:val="clear"/>
            <w:tcMar>
              <w:top w:type="dxa" w:w="80"/>
              <w:left w:type="dxa" w:w="100"/>
              <w:bottom w:type="dxa" w:w="80"/>
              <w:right w:type="dxa" w:w="100"/>
            </w:tcMar>
          </w:tcPr>
          <w:p w14:paraId="1B91163E">
            <w:pPr>
              <w:spacing w:after="40" w:line="240"/>
            </w:pPr>
            <w:r>
              <w:rPr>
                <w:rFonts w:ascii="Times New Roman" w:cs="Times New Roman" w:eastAsia="SimSun" w:hAnsi="Times New Roman"/>
                <w:sz w:val="21"/>
                <w:szCs w:val="21"/>
              </w:rPr>
              <w:t xml:space="preserve">KS distance (threshold)</w:t>
            </w:r>
          </w:p>
        </w:tc>
        <w:tc>
          <w:tcPr>
            <w:tcW w:type="dxa" w:w="2050"/>
            <w:shd w:fill="EEF3F6" w:val="clear"/>
            <w:tcMar>
              <w:top w:type="dxa" w:w="80"/>
              <w:left w:type="dxa" w:w="100"/>
              <w:bottom w:type="dxa" w:w="80"/>
              <w:right w:type="dxa" w:w="100"/>
            </w:tcMar>
          </w:tcPr>
          <w:p w14:paraId="0C64691A">
            <w:pPr>
              <w:spacing w:after="40" w:line="240"/>
            </w:pPr>
            <w:r>
              <w:rPr>
                <w:rFonts w:ascii="Times New Roman" w:cs="Times New Roman" w:eastAsia="SimSun" w:hAnsi="Times New Roman"/>
                <w:sz w:val="21"/>
                <w:szCs w:val="21"/>
              </w:rPr>
              <w:t xml:space="preserve">HM distance (threshold)</w:t>
            </w:r>
          </w:p>
        </w:tc>
        <w:tc>
          <w:tcPr>
            <w:tcW w:type="dxa" w:w="1050"/>
            <w:shd w:fill="EEF3F6" w:val="clear"/>
            <w:tcMar>
              <w:top w:type="dxa" w:w="80"/>
              <w:left w:type="dxa" w:w="100"/>
              <w:bottom w:type="dxa" w:w="80"/>
              <w:right w:type="dxa" w:w="100"/>
            </w:tcMar>
          </w:tcPr>
          <w:p w14:paraId="5F821572">
            <w:pPr>
              <w:spacing w:after="40" w:line="240"/>
            </w:pPr>
            <w:r>
              <w:rPr>
                <w:rFonts w:ascii="Times New Roman" w:cs="Times New Roman" w:eastAsia="SimSun" w:hAnsi="Times New Roman"/>
                <w:sz w:val="21"/>
                <w:szCs w:val="21"/>
              </w:rPr>
              <w:t xml:space="preserve">Metrics failed</w:t>
            </w:r>
          </w:p>
        </w:tc>
      </w:tr>
      <w:tr>
        <w:trPr>
          <w:cantSplit/>
        </w:trPr>
        <w:tc>
          <w:tcPr>
            <w:tcW w:type="dxa" w:w="1300"/>
            <w:tcMar>
              <w:top w:type="dxa" w:w="80"/>
              <w:left w:type="dxa" w:w="100"/>
              <w:bottom w:type="dxa" w:w="80"/>
              <w:right w:type="dxa" w:w="100"/>
            </w:tcMar>
          </w:tcPr>
          <w:p w14:paraId="430BEFAA">
            <w:pPr>
              <w:spacing w:after="40" w:line="240"/>
            </w:pPr>
            <w:r>
              <w:rPr>
                <w:rFonts w:ascii="Times New Roman" w:cs="Times New Roman" w:eastAsia="SimSun" w:hAnsi="Times New Roman"/>
                <w:sz w:val="21"/>
                <w:szCs w:val="21"/>
              </w:rPr>
              <w:t xml:space="preserve">GSE6364</w:t>
            </w:r>
          </w:p>
        </w:tc>
        <w:tc>
          <w:tcPr>
            <w:tcW w:type="dxa" w:w="1850"/>
            <w:tcMar>
              <w:top w:type="dxa" w:w="80"/>
              <w:left w:type="dxa" w:w="100"/>
              <w:bottom w:type="dxa" w:w="80"/>
              <w:right w:type="dxa" w:w="100"/>
            </w:tcMar>
          </w:tcPr>
          <w:p w14:paraId="47D72B76">
            <w:pPr>
              <w:spacing w:after="40" w:line="240"/>
            </w:pPr>
            <w:r>
              <w:rPr>
                <w:rFonts w:ascii="Times New Roman" w:cs="Times New Roman" w:eastAsia="SimSun" w:hAnsi="Times New Roman"/>
                <w:sz w:val="21"/>
                <w:szCs w:val="21"/>
              </w:rPr>
              <w:t xml:space="preserve">GSM150191</w:t>
            </w:r>
          </w:p>
        </w:tc>
        <w:tc>
          <w:tcPr>
            <w:tcW w:type="dxa" w:w="1850"/>
            <w:tcMar>
              <w:top w:type="dxa" w:w="80"/>
              <w:left w:type="dxa" w:w="100"/>
              <w:bottom w:type="dxa" w:w="80"/>
              <w:right w:type="dxa" w:w="100"/>
            </w:tcMar>
          </w:tcPr>
          <w:p w14:paraId="1C9311D6">
            <w:pPr>
              <w:spacing w:after="40" w:line="240"/>
            </w:pPr>
            <w:r>
              <w:rPr>
                <w:rFonts w:ascii="Times New Roman" w:cs="Times New Roman" w:eastAsia="SimSun" w:hAnsi="Times New Roman"/>
                <w:sz w:val="21"/>
                <w:szCs w:val="21"/>
              </w:rPr>
              <w:t xml:space="preserve">0.0339 (0.0189)</w:t>
            </w:r>
          </w:p>
        </w:tc>
        <w:tc>
          <w:tcPr>
            <w:tcW w:type="dxa" w:w="2050"/>
            <w:tcMar>
              <w:top w:type="dxa" w:w="80"/>
              <w:left w:type="dxa" w:w="100"/>
              <w:bottom w:type="dxa" w:w="80"/>
              <w:right w:type="dxa" w:w="100"/>
            </w:tcMar>
          </w:tcPr>
          <w:p w14:paraId="47A7297A">
            <w:pPr>
              <w:spacing w:after="40" w:line="240"/>
            </w:pPr>
            <w:r>
              <w:rPr>
                <w:rFonts w:ascii="Times New Roman" w:cs="Times New Roman" w:eastAsia="SimSun" w:hAnsi="Times New Roman"/>
                <w:sz w:val="21"/>
                <w:szCs w:val="21"/>
              </w:rPr>
              <w:t xml:space="preserve">15.27 (13.74)</w:t>
            </w:r>
          </w:p>
        </w:tc>
        <w:tc>
          <w:tcPr>
            <w:tcW w:type="dxa" w:w="1050"/>
            <w:tcMar>
              <w:top w:type="dxa" w:w="80"/>
              <w:left w:type="dxa" w:w="100"/>
              <w:bottom w:type="dxa" w:w="80"/>
              <w:right w:type="dxa" w:w="100"/>
            </w:tcMar>
          </w:tcPr>
          <w:p w14:paraId="08B2A07E">
            <w:pPr>
              <w:spacing w:after="40" w:line="240"/>
            </w:pPr>
            <w:r>
              <w:rPr>
                <w:rFonts w:ascii="Times New Roman" w:cs="Times New Roman" w:eastAsia="SimSun" w:hAnsi="Times New Roman"/>
                <w:sz w:val="21"/>
                <w:szCs w:val="21"/>
              </w:rPr>
              <w:t xml:space="preserve">2 of 3</w:t>
            </w:r>
          </w:p>
        </w:tc>
      </w:tr>
      <w:tr>
        <w:trPr>
          <w:cantSplit/>
        </w:trPr>
        <w:tc>
          <w:tcPr>
            <w:tcW w:type="dxa" w:w="1300"/>
            <w:tcMar>
              <w:top w:type="dxa" w:w="80"/>
              <w:left w:type="dxa" w:w="100"/>
              <w:bottom w:type="dxa" w:w="80"/>
              <w:right w:type="dxa" w:w="100"/>
            </w:tcMar>
          </w:tcPr>
          <w:p w14:paraId="556E393C">
            <w:pPr>
              <w:spacing w:after="40" w:line="240"/>
            </w:pPr>
            <w:r>
              <w:rPr>
                <w:rFonts w:ascii="Times New Roman" w:cs="Times New Roman" w:eastAsia="SimSun" w:hAnsi="Times New Roman"/>
                <w:sz w:val="21"/>
                <w:szCs w:val="21"/>
              </w:rPr>
              <w:t xml:space="preserve">GSE6364</w:t>
            </w:r>
          </w:p>
        </w:tc>
        <w:tc>
          <w:tcPr>
            <w:tcW w:type="dxa" w:w="1850"/>
            <w:tcMar>
              <w:top w:type="dxa" w:w="80"/>
              <w:left w:type="dxa" w:w="100"/>
              <w:bottom w:type="dxa" w:w="80"/>
              <w:right w:type="dxa" w:w="100"/>
            </w:tcMar>
          </w:tcPr>
          <w:p w14:paraId="3EBC75F8">
            <w:pPr>
              <w:spacing w:after="40" w:line="240"/>
            </w:pPr>
            <w:r>
              <w:rPr>
                <w:rFonts w:ascii="Times New Roman" w:cs="Times New Roman" w:eastAsia="SimSun" w:hAnsi="Times New Roman"/>
                <w:sz w:val="21"/>
                <w:szCs w:val="21"/>
              </w:rPr>
              <w:t xml:space="preserve">GSM150214</w:t>
            </w:r>
          </w:p>
        </w:tc>
        <w:tc>
          <w:tcPr>
            <w:tcW w:type="dxa" w:w="1850"/>
            <w:tcMar>
              <w:top w:type="dxa" w:w="80"/>
              <w:left w:type="dxa" w:w="100"/>
              <w:bottom w:type="dxa" w:w="80"/>
              <w:right w:type="dxa" w:w="100"/>
            </w:tcMar>
          </w:tcPr>
          <w:p w14:paraId="7D167AAC">
            <w:pPr>
              <w:spacing w:after="40" w:line="240"/>
            </w:pPr>
            <w:r>
              <w:rPr>
                <w:rFonts w:ascii="Times New Roman" w:cs="Times New Roman" w:eastAsia="SimSun" w:hAnsi="Times New Roman"/>
                <w:sz w:val="21"/>
                <w:szCs w:val="21"/>
              </w:rPr>
              <w:t xml:space="preserve">0.0336 (0.0189)</w:t>
            </w:r>
          </w:p>
        </w:tc>
        <w:tc>
          <w:tcPr>
            <w:tcW w:type="dxa" w:w="2050"/>
            <w:tcMar>
              <w:top w:type="dxa" w:w="80"/>
              <w:left w:type="dxa" w:w="100"/>
              <w:bottom w:type="dxa" w:w="80"/>
              <w:right w:type="dxa" w:w="100"/>
            </w:tcMar>
          </w:tcPr>
          <w:p w14:paraId="34191F02">
            <w:pPr>
              <w:spacing w:after="40" w:line="240"/>
            </w:pPr>
            <w:r>
              <w:rPr>
                <w:rFonts w:ascii="Times New Roman" w:cs="Times New Roman" w:eastAsia="SimSun" w:hAnsi="Times New Roman"/>
                <w:sz w:val="21"/>
                <w:szCs w:val="21"/>
              </w:rPr>
              <w:t xml:space="preserve">15.31 (13.74)</w:t>
            </w:r>
          </w:p>
        </w:tc>
        <w:tc>
          <w:tcPr>
            <w:tcW w:type="dxa" w:w="1050"/>
            <w:tcMar>
              <w:top w:type="dxa" w:w="80"/>
              <w:left w:type="dxa" w:w="100"/>
              <w:bottom w:type="dxa" w:w="80"/>
              <w:right w:type="dxa" w:w="100"/>
            </w:tcMar>
          </w:tcPr>
          <w:p w14:paraId="1944DF8E">
            <w:pPr>
              <w:spacing w:after="40" w:line="240"/>
            </w:pPr>
            <w:r>
              <w:rPr>
                <w:rFonts w:ascii="Times New Roman" w:cs="Times New Roman" w:eastAsia="SimSun" w:hAnsi="Times New Roman"/>
                <w:sz w:val="21"/>
                <w:szCs w:val="21"/>
              </w:rPr>
              <w:t xml:space="preserve">2 of 3</w:t>
            </w:r>
          </w:p>
        </w:tc>
      </w:tr>
      <w:tr>
        <w:trPr>
          <w:cantSplit/>
        </w:trPr>
        <w:tc>
          <w:tcPr>
            <w:tcW w:type="dxa" w:w="1300"/>
            <w:tcMar>
              <w:top w:type="dxa" w:w="80"/>
              <w:left w:type="dxa" w:w="100"/>
              <w:bottom w:type="dxa" w:w="80"/>
              <w:right w:type="dxa" w:w="100"/>
            </w:tcMar>
          </w:tcPr>
          <w:p w14:paraId="1CCE85E2">
            <w:pPr>
              <w:spacing w:after="40" w:line="240"/>
            </w:pPr>
            <w:r>
              <w:rPr>
                <w:rFonts w:ascii="Times New Roman" w:cs="Times New Roman" w:eastAsia="SimSun" w:hAnsi="Times New Roman"/>
                <w:sz w:val="21"/>
                <w:szCs w:val="21"/>
              </w:rPr>
              <w:t xml:space="preserve">GSE7307</w:t>
            </w:r>
          </w:p>
        </w:tc>
        <w:tc>
          <w:tcPr>
            <w:tcW w:type="dxa" w:w="1850"/>
            <w:tcMar>
              <w:top w:type="dxa" w:w="80"/>
              <w:left w:type="dxa" w:w="100"/>
              <w:bottom w:type="dxa" w:w="80"/>
              <w:right w:type="dxa" w:w="100"/>
            </w:tcMar>
          </w:tcPr>
          <w:p w14:paraId="75D7C080">
            <w:pPr>
              <w:spacing w:after="40" w:line="240"/>
            </w:pPr>
            <w:r>
              <w:rPr>
                <w:rFonts w:ascii="Times New Roman" w:cs="Times New Roman" w:eastAsia="SimSun" w:hAnsi="Times New Roman"/>
                <w:sz w:val="21"/>
                <w:szCs w:val="21"/>
              </w:rPr>
              <w:t xml:space="preserve">GSM176240</w:t>
            </w:r>
          </w:p>
        </w:tc>
        <w:tc>
          <w:tcPr>
            <w:tcW w:type="dxa" w:w="1850"/>
            <w:tcMar>
              <w:top w:type="dxa" w:w="80"/>
              <w:left w:type="dxa" w:w="100"/>
              <w:bottom w:type="dxa" w:w="80"/>
              <w:right w:type="dxa" w:w="100"/>
            </w:tcMar>
          </w:tcPr>
          <w:p w14:paraId="2D551FC4">
            <w:pPr>
              <w:spacing w:after="40" w:line="240"/>
            </w:pPr>
            <w:r>
              <w:rPr>
                <w:rFonts w:ascii="Times New Roman" w:cs="Times New Roman" w:eastAsia="SimSun" w:hAnsi="Times New Roman"/>
                <w:sz w:val="21"/>
                <w:szCs w:val="21"/>
              </w:rPr>
              <w:t xml:space="preserve">0.0421 (0.0393)</w:t>
            </w:r>
          </w:p>
        </w:tc>
        <w:tc>
          <w:tcPr>
            <w:tcW w:type="dxa" w:w="2050"/>
            <w:tcMar>
              <w:top w:type="dxa" w:w="80"/>
              <w:left w:type="dxa" w:w="100"/>
              <w:bottom w:type="dxa" w:w="80"/>
              <w:right w:type="dxa" w:w="100"/>
            </w:tcMar>
          </w:tcPr>
          <w:p w14:paraId="77A2EF5E">
            <w:pPr>
              <w:spacing w:after="40" w:line="240"/>
            </w:pPr>
            <w:r>
              <w:rPr>
                <w:rFonts w:ascii="Times New Roman" w:cs="Times New Roman" w:eastAsia="SimSun" w:hAnsi="Times New Roman"/>
                <w:sz w:val="21"/>
                <w:szCs w:val="21"/>
              </w:rPr>
              <w:t xml:space="preserve">22.16 (21.91)</w:t>
            </w:r>
          </w:p>
        </w:tc>
        <w:tc>
          <w:tcPr>
            <w:tcW w:type="dxa" w:w="1050"/>
            <w:tcMar>
              <w:top w:type="dxa" w:w="80"/>
              <w:left w:type="dxa" w:w="100"/>
              <w:bottom w:type="dxa" w:w="80"/>
              <w:right w:type="dxa" w:w="100"/>
            </w:tcMar>
          </w:tcPr>
          <w:p w14:paraId="1B69C280">
            <w:pPr>
              <w:spacing w:after="40" w:line="240"/>
            </w:pPr>
            <w:r>
              <w:rPr>
                <w:rFonts w:ascii="Times New Roman" w:cs="Times New Roman" w:eastAsia="SimSun" w:hAnsi="Times New Roman"/>
                <w:sz w:val="21"/>
                <w:szCs w:val="21"/>
              </w:rPr>
              <w:t xml:space="preserve">2 of 3</w:t>
            </w:r>
          </w:p>
        </w:tc>
      </w:tr>
      <w:tr>
        <w:trPr>
          <w:cantSplit/>
        </w:trPr>
        <w:tc>
          <w:tcPr>
            <w:tcW w:type="dxa" w:w="1300"/>
            <w:tcMar>
              <w:top w:type="dxa" w:w="80"/>
              <w:left w:type="dxa" w:w="100"/>
              <w:bottom w:type="dxa" w:w="80"/>
              <w:right w:type="dxa" w:w="100"/>
            </w:tcMar>
          </w:tcPr>
          <w:p w14:paraId="7693F2B8">
            <w:pPr>
              <w:spacing w:after="40" w:line="240"/>
            </w:pPr>
            <w:r>
              <w:rPr>
                <w:rFonts w:ascii="Times New Roman" w:cs="Times New Roman" w:eastAsia="SimSun" w:hAnsi="Times New Roman"/>
                <w:sz w:val="21"/>
                <w:szCs w:val="21"/>
              </w:rPr>
              <w:t xml:space="preserve">GSE51981</w:t>
            </w:r>
          </w:p>
        </w:tc>
        <w:tc>
          <w:tcPr>
            <w:tcW w:type="dxa" w:w="1850"/>
            <w:tcMar>
              <w:top w:type="dxa" w:w="80"/>
              <w:left w:type="dxa" w:w="100"/>
              <w:bottom w:type="dxa" w:w="80"/>
              <w:right w:type="dxa" w:w="100"/>
            </w:tcMar>
          </w:tcPr>
          <w:p w14:paraId="0747A9C2">
            <w:pPr>
              <w:spacing w:after="40" w:line="240"/>
            </w:pPr>
            <w:r>
              <w:rPr>
                <w:rFonts w:ascii="Times New Roman" w:cs="Times New Roman" w:eastAsia="SimSun" w:hAnsi="Times New Roman"/>
                <w:sz w:val="21"/>
                <w:szCs w:val="21"/>
              </w:rPr>
              <w:t xml:space="preserve">GSM1256659_134</w:t>
            </w:r>
          </w:p>
        </w:tc>
        <w:tc>
          <w:tcPr>
            <w:tcW w:type="dxa" w:w="1850"/>
            <w:tcMar>
              <w:top w:type="dxa" w:w="80"/>
              <w:left w:type="dxa" w:w="100"/>
              <w:bottom w:type="dxa" w:w="80"/>
              <w:right w:type="dxa" w:w="100"/>
            </w:tcMar>
          </w:tcPr>
          <w:p w14:paraId="2AEA1BD0">
            <w:pPr>
              <w:spacing w:after="40" w:line="240"/>
            </w:pPr>
            <w:r>
              <w:rPr>
                <w:rFonts w:ascii="Times New Roman" w:cs="Times New Roman" w:eastAsia="SimSun" w:hAnsi="Times New Roman"/>
                <w:sz w:val="21"/>
                <w:szCs w:val="21"/>
              </w:rPr>
              <w:t xml:space="preserve">0.0579 (0.0464)</w:t>
            </w:r>
          </w:p>
        </w:tc>
        <w:tc>
          <w:tcPr>
            <w:tcW w:type="dxa" w:w="2050"/>
            <w:tcMar>
              <w:top w:type="dxa" w:w="80"/>
              <w:left w:type="dxa" w:w="100"/>
              <w:bottom w:type="dxa" w:w="80"/>
              <w:right w:type="dxa" w:w="100"/>
            </w:tcMar>
          </w:tcPr>
          <w:p w14:paraId="3ED36964">
            <w:pPr>
              <w:spacing w:after="40" w:line="240"/>
            </w:pPr>
            <w:r>
              <w:rPr>
                <w:rFonts w:ascii="Times New Roman" w:cs="Times New Roman" w:eastAsia="SimSun" w:hAnsi="Times New Roman"/>
                <w:sz w:val="21"/>
                <w:szCs w:val="21"/>
              </w:rPr>
              <w:t xml:space="preserve">107.617 (107.224)</w:t>
            </w:r>
          </w:p>
        </w:tc>
        <w:tc>
          <w:tcPr>
            <w:tcW w:type="dxa" w:w="1050"/>
            <w:tcMar>
              <w:top w:type="dxa" w:w="80"/>
              <w:left w:type="dxa" w:w="100"/>
              <w:bottom w:type="dxa" w:w="80"/>
              <w:right w:type="dxa" w:w="100"/>
            </w:tcMar>
          </w:tcPr>
          <w:p w14:paraId="34241924">
            <w:pPr>
              <w:spacing w:after="40" w:line="240"/>
            </w:pPr>
            <w:r>
              <w:rPr>
                <w:rFonts w:ascii="Times New Roman" w:cs="Times New Roman" w:eastAsia="SimSun" w:hAnsi="Times New Roman"/>
                <w:sz w:val="21"/>
                <w:szCs w:val="21"/>
              </w:rPr>
              <w:t xml:space="preserve">2 of 3</w:t>
            </w:r>
          </w:p>
        </w:tc>
      </w:tr>
      <w:tr>
        <w:trPr>
          <w:cantSplit/>
        </w:trPr>
        <w:tc>
          <w:tcPr>
            <w:tcW w:type="dxa" w:w="1300"/>
            <w:tcMar>
              <w:top w:type="dxa" w:w="80"/>
              <w:left w:type="dxa" w:w="100"/>
              <w:bottom w:type="dxa" w:w="80"/>
              <w:right w:type="dxa" w:w="100"/>
            </w:tcMar>
          </w:tcPr>
          <w:p w14:paraId="79B56218">
            <w:pPr>
              <w:spacing w:after="40" w:line="240"/>
            </w:pPr>
            <w:r>
              <w:rPr>
                <w:rFonts w:ascii="Times New Roman" w:cs="Times New Roman" w:eastAsia="SimSun" w:hAnsi="Times New Roman"/>
                <w:sz w:val="21"/>
                <w:szCs w:val="21"/>
              </w:rPr>
              <w:t xml:space="preserve">GSE11691</w:t>
            </w:r>
          </w:p>
        </w:tc>
        <w:tc>
          <w:tcPr>
            <w:tcW w:type="dxa" w:w="1850"/>
            <w:tcMar>
              <w:top w:type="dxa" w:w="80"/>
              <w:left w:type="dxa" w:w="100"/>
              <w:bottom w:type="dxa" w:w="80"/>
              <w:right w:type="dxa" w:w="100"/>
            </w:tcMar>
          </w:tcPr>
          <w:p w14:paraId="16DD639E">
            <w:pPr>
              <w:spacing w:after="40" w:line="240"/>
            </w:pPr>
            <w:r>
              <w:rPr>
                <w:rFonts w:ascii="Times New Roman" w:cs="Times New Roman" w:eastAsia="SimSun" w:hAnsi="Times New Roman"/>
                <w:sz w:val="21"/>
                <w:szCs w:val="21"/>
              </w:rPr>
              <w:t xml:space="preserve">GSM296885</w:t>
            </w:r>
          </w:p>
        </w:tc>
        <w:tc>
          <w:tcPr>
            <w:tcW w:type="dxa" w:w="1850"/>
            <w:tcMar>
              <w:top w:type="dxa" w:w="80"/>
              <w:left w:type="dxa" w:w="100"/>
              <w:bottom w:type="dxa" w:w="80"/>
              <w:right w:type="dxa" w:w="100"/>
            </w:tcMar>
          </w:tcPr>
          <w:p w14:paraId="37C3FF08">
            <w:pPr>
              <w:spacing w:after="40" w:line="240"/>
            </w:pPr>
            <w:r>
              <w:rPr>
                <w:rFonts w:ascii="Times New Roman" w:cs="Times New Roman" w:eastAsia="SimSun" w:hAnsi="Times New Roman"/>
                <w:sz w:val="21"/>
                <w:szCs w:val="21"/>
              </w:rPr>
              <w:t xml:space="preserve">0.0496 (0.0224)</w:t>
            </w:r>
          </w:p>
        </w:tc>
        <w:tc>
          <w:tcPr>
            <w:tcW w:type="dxa" w:w="2050"/>
            <w:tcMar>
              <w:top w:type="dxa" w:w="80"/>
              <w:left w:type="dxa" w:w="100"/>
              <w:bottom w:type="dxa" w:w="80"/>
              <w:right w:type="dxa" w:w="100"/>
            </w:tcMar>
          </w:tcPr>
          <w:p w14:paraId="2D0CB6EE">
            <w:pPr>
              <w:spacing w:after="40" w:line="240"/>
            </w:pPr>
            <w:r>
              <w:rPr>
                <w:rFonts w:ascii="Times New Roman" w:cs="Times New Roman" w:eastAsia="SimSun" w:hAnsi="Times New Roman"/>
                <w:sz w:val="21"/>
                <w:szCs w:val="21"/>
              </w:rPr>
              <w:t xml:space="preserve">9.69 (6.43)</w:t>
            </w:r>
          </w:p>
        </w:tc>
        <w:tc>
          <w:tcPr>
            <w:tcW w:type="dxa" w:w="1050"/>
            <w:tcMar>
              <w:top w:type="dxa" w:w="80"/>
              <w:left w:type="dxa" w:w="100"/>
              <w:bottom w:type="dxa" w:w="80"/>
              <w:right w:type="dxa" w:w="100"/>
            </w:tcMar>
          </w:tcPr>
          <w:p w14:paraId="7880A49E">
            <w:pPr>
              <w:spacing w:after="40" w:line="240"/>
            </w:pPr>
            <w:r>
              <w:rPr>
                <w:rFonts w:ascii="Times New Roman" w:cs="Times New Roman" w:eastAsia="SimSun" w:hAnsi="Times New Roman"/>
                <w:sz w:val="21"/>
                <w:szCs w:val="21"/>
              </w:rPr>
              <w:t xml:space="preserve">2 of 3</w:t>
            </w:r>
          </w:p>
        </w:tc>
      </w:tr>
    </w:tbl>
    <w:p w14:paraId="32237DF8">
      <w:pPr>
        <w:spacing w:after="120"/>
      </w:pPr>
      <w:r>
        <w:rPr>
          <w:rFonts w:ascii="Times New Roman" w:cs="Times New Roman" w:eastAsia="SimSun" w:hAnsi="Times New Roman"/>
          <w:i/>
          <w:iCs/>
          <w:color w:val="5A6B72"/>
          <w:sz w:val="21"/>
          <w:szCs w:val="21"/>
        </w:rPr>
        <w:t xml:space="preserve">All MA-plot cov statistics were &lt;0.15 in every cohort. Flagged arrays are retained in primary analyses; sensitivity arms are pre-registered (Section 2.4).</w:t>
      </w:r>
    </w:p>
    <w:p w14:paraId="081E3516">
      <w:pPr>
        <w:pStyle w:val="Heading2"/>
        <w:spacing w:after="120" w:before="240"/>
      </w:pPr>
      <w:r>
        <w:rPr>
          <w:rFonts w:ascii="Times New Roman" w:cs="Times New Roman" w:eastAsia="SimSun" w:hAnsi="Times New Roman"/>
          <w:b/>
          <w:bCs/>
          <w:sz w:val="26"/>
          <w:szCs w:val="26"/>
        </w:rPr>
        <w:t xml:space="preserve">2.4 Primary comparisons [S3 — to be inserted]</w:t>
      </w:r>
    </w:p>
    <w:p w14:paraId="22A4BF66">
      <w:pPr>
        <w:spacing w:after="160" w:line="276"/>
        <w:jc w:val="both"/>
      </w:pPr>
      <w:r>
        <w:rPr>
          <w:rFonts w:ascii="Times New Roman" w:cs="Times New Roman" w:eastAsia="SimSun" w:hAnsi="Times New Roman"/>
          <w:sz w:val="24"/>
          <w:szCs w:val="24"/>
        </w:rPr>
        <w:t xml:space="preserve">[Reserved: pre-registered bulk contrasts (patient versus normal) for all seven cohorts with cohort-specific design notes; scRNA lineage-level contrasts including the N1 two-arm comparison; signature scoring including the SenMayo cellular-senescence signature; proposed gates BH-FDR &lt; 0.05 with |log2FC| &gt;= 0.5 as a reporting-only effect-size tier, and sign-concordance summaries; sensitivity arms excluding GSE7307, and the GSE51981 borderline-pair sensitivity analysis. This section is populated by stage S3 after the lead's written approval of the registered design; no result is reported here in advance.]</w:t>
      </w:r>
    </w:p>
    <w:p w14:paraId="723FFB84">
      <w:pPr>
        <w:pStyle w:val="Heading2"/>
        <w:spacing w:after="120" w:before="240"/>
      </w:pPr>
      <w:r>
        <w:rPr>
          <w:rFonts w:ascii="Times New Roman" w:cs="Times New Roman" w:eastAsia="SimSun" w:hAnsi="Times New Roman"/>
          <w:b/>
          <w:bCs/>
          <w:sz w:val="26"/>
          <w:szCs w:val="26"/>
        </w:rPr>
        <w:t xml:space="preserve">2.5 Cross-platform score integration [S4 — to be inserted]</w:t>
      </w:r>
    </w:p>
    <w:p w14:paraId="43A53AFC">
      <w:pPr>
        <w:spacing w:after="160" w:line="276"/>
        <w:jc w:val="both"/>
      </w:pPr>
      <w:r>
        <w:rPr>
          <w:rFonts w:ascii="Times New Roman" w:cs="Times New Roman" w:eastAsia="SimSun" w:hAnsi="Times New Roman"/>
          <w:sz w:val="24"/>
          <w:szCs w:val="24"/>
        </w:rPr>
        <w:t xml:space="preserve">[Reserved: score-level integration across platforms, with GSE213216 (Fonseca atlas) as an audit-only verification reference on author-processed objects. Populated by stage S4.]</w:t>
      </w:r>
    </w:p>
    <w:p w14:paraId="7904A06C">
      <w:pPr>
        <w:pStyle w:val="Heading1"/>
        <w:spacing w:after="160" w:before="320"/>
      </w:pPr>
      <w:r>
        <w:rPr>
          <w:rFonts w:ascii="Times New Roman" w:cs="Times New Roman" w:eastAsia="SimSun" w:hAnsi="Times New Roman"/>
          <w:b/>
          <w:bCs/>
          <w:sz w:val="30"/>
          <w:szCs w:val="30"/>
        </w:rPr>
        <w:t xml:space="preserve">3. Proposed figure and table allocation</w:t>
      </w:r>
    </w:p>
    <w:p w14:paraId="1C3A064C">
      <w:pPr>
        <w:spacing w:after="160" w:line="276"/>
        <w:jc w:val="both"/>
      </w:pPr>
      <w:r>
        <w:rPr>
          <w:rFonts w:ascii="Times New Roman" w:cs="Times New Roman" w:eastAsia="SimSun" w:hAnsi="Times New Roman"/>
          <w:sz w:val="24"/>
          <w:szCs w:val="24"/>
        </w:rPr>
        <w:t xml:space="preserve">Allocation proposal for the submission package; final placement follows journal format and reviewer guidance. Bracketed entries depend on S3/S4 outputs.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shd w:fill="EEF3F6" w:val="clear"/>
            <w:tcMar>
              <w:top w:type="dxa" w:w="80"/>
              <w:left w:type="dxa" w:w="100"/>
              <w:bottom w:type="dxa" w:w="80"/>
              <w:right w:type="dxa" w:w="100"/>
            </w:tcMar>
          </w:tcPr>
          <w:p w14:paraId="0E9F1E04">
            <w:pPr>
              <w:spacing w:after="40" w:line="240"/>
            </w:pPr>
            <w:r>
              <w:rPr>
                <w:rFonts w:ascii="Times New Roman" w:cs="Times New Roman" w:eastAsia="SimSun" w:hAnsi="Times New Roman"/>
                <w:sz w:val="21"/>
                <w:szCs w:val="21"/>
              </w:rPr>
              <w:t xml:space="preserve">Panel / table</w:t>
            </w:r>
          </w:p>
        </w:tc>
        <w:tc>
          <w:tcPr>
            <w:tcW w:type="dxa" w:w="6400"/>
            <w:shd w:fill="EEF3F6" w:val="clear"/>
            <w:tcMar>
              <w:top w:type="dxa" w:w="80"/>
              <w:left w:type="dxa" w:w="100"/>
              <w:bottom w:type="dxa" w:w="80"/>
              <w:right w:type="dxa" w:w="100"/>
            </w:tcMar>
          </w:tcPr>
          <w:p w14:paraId="6EB37BAA">
            <w:pPr>
              <w:spacing w:after="40" w:line="240"/>
            </w:pPr>
            <w:r>
              <w:rPr>
                <w:rFonts w:ascii="Times New Roman" w:cs="Times New Roman" w:eastAsia="SimSun" w:hAnsi="Times New Roman"/>
                <w:sz w:val="21"/>
                <w:szCs w:val="21"/>
              </w:rPr>
              <w:t xml:space="preserve">Placement</w:t>
            </w:r>
          </w:p>
        </w:tc>
      </w:tr>
      <w:tr>
        <w:trPr>
          <w:cantSplit/>
        </w:trPr>
        <w:tc>
          <w:tcPr>
            <w:tcW w:type="dxa" w:w="2500"/>
            <w:tcMar>
              <w:top w:type="dxa" w:w="80"/>
              <w:left w:type="dxa" w:w="100"/>
              <w:bottom w:type="dxa" w:w="80"/>
              <w:right w:type="dxa" w:w="100"/>
            </w:tcMar>
          </w:tcPr>
          <w:p w14:paraId="187128E0">
            <w:pPr>
              <w:spacing w:after="40" w:line="240"/>
            </w:pPr>
            <w:r>
              <w:rPr>
                <w:rFonts w:ascii="Times New Roman" w:cs="Times New Roman" w:eastAsia="SimSun" w:hAnsi="Times New Roman"/>
                <w:sz w:val="21"/>
                <w:szCs w:val="21"/>
              </w:rPr>
              <w:t xml:space="preserve">Fig 1. Study-design schematic (Elimination-Equilibrium-Escape framework applied to endometriosis; cohort map)</w:t>
            </w:r>
          </w:p>
        </w:tc>
        <w:tc>
          <w:tcPr>
            <w:tcW w:type="dxa" w:w="6400"/>
            <w:tcMar>
              <w:top w:type="dxa" w:w="80"/>
              <w:left w:type="dxa" w:w="100"/>
              <w:bottom w:type="dxa" w:w="80"/>
              <w:right w:type="dxa" w:w="100"/>
            </w:tcMar>
          </w:tcPr>
          <w:p w14:paraId="0121D486">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25B90AF4">
            <w:pPr>
              <w:spacing w:after="40" w:line="240"/>
            </w:pPr>
            <w:r>
              <w:rPr>
                <w:rFonts w:ascii="Times New Roman" w:cs="Times New Roman" w:eastAsia="SimSun" w:hAnsi="Times New Roman"/>
                <w:sz w:val="21"/>
                <w:szCs w:val="21"/>
              </w:rPr>
              <w:t xml:space="preserve">Fig 2. Integrated single-cell atlas (UMAP, 233,459 cells, 29 clusters, lineage annotation)</w:t>
            </w:r>
          </w:p>
        </w:tc>
        <w:tc>
          <w:tcPr>
            <w:tcW w:type="dxa" w:w="6400"/>
            <w:tcMar>
              <w:top w:type="dxa" w:w="80"/>
              <w:left w:type="dxa" w:w="100"/>
              <w:bottom w:type="dxa" w:w="80"/>
              <w:right w:type="dxa" w:w="100"/>
            </w:tcMar>
          </w:tcPr>
          <w:p w14:paraId="4B62933A">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51CADD2E">
            <w:pPr>
              <w:spacing w:after="40" w:line="240"/>
            </w:pPr>
            <w:r>
              <w:rPr>
                <w:rFonts w:ascii="Times New Roman" w:cs="Times New Roman" w:eastAsia="SimSun" w:hAnsi="Times New Roman"/>
                <w:sz w:val="21"/>
                <w:szCs w:val="21"/>
              </w:rPr>
              <w:t xml:space="preserve">Fig 3. Bulk cohort quality-control plate (per-cohort PCA, flagged arrays ringed; composite plate)</w:t>
            </w:r>
          </w:p>
        </w:tc>
        <w:tc>
          <w:tcPr>
            <w:tcW w:type="dxa" w:w="6400"/>
            <w:tcMar>
              <w:top w:type="dxa" w:w="80"/>
              <w:left w:type="dxa" w:w="100"/>
              <w:bottom w:type="dxa" w:w="80"/>
              <w:right w:type="dxa" w:w="100"/>
            </w:tcMar>
          </w:tcPr>
          <w:p w14:paraId="04853246">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14DF6768">
            <w:pPr>
              <w:spacing w:after="40" w:line="240"/>
            </w:pPr>
            <w:r>
              <w:rPr>
                <w:rFonts w:ascii="Times New Roman" w:cs="Times New Roman" w:eastAsia="SimSun" w:hAnsi="Times New Roman"/>
                <w:sz w:val="21"/>
                <w:szCs w:val="21"/>
              </w:rPr>
              <w:t xml:space="preserve">Fig 4. [S3 primary contrast results — to be designed after S3]</w:t>
            </w:r>
          </w:p>
        </w:tc>
        <w:tc>
          <w:tcPr>
            <w:tcW w:type="dxa" w:w="6400"/>
            <w:tcMar>
              <w:top w:type="dxa" w:w="80"/>
              <w:left w:type="dxa" w:w="100"/>
              <w:bottom w:type="dxa" w:w="80"/>
              <w:right w:type="dxa" w:w="100"/>
            </w:tcMar>
          </w:tcPr>
          <w:p w14:paraId="646DCF12">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23D19274">
            <w:pPr>
              <w:spacing w:after="40" w:line="240"/>
            </w:pPr>
            <w:r>
              <w:rPr>
                <w:rFonts w:ascii="Times New Roman" w:cs="Times New Roman" w:eastAsia="SimSun" w:hAnsi="Times New Roman"/>
                <w:sz w:val="21"/>
                <w:szCs w:val="21"/>
              </w:rPr>
              <w:t xml:space="preserve">Fig 5. [S4 cross-platform score integration — to be designed after S4]</w:t>
            </w:r>
          </w:p>
        </w:tc>
        <w:tc>
          <w:tcPr>
            <w:tcW w:type="dxa" w:w="6400"/>
            <w:tcMar>
              <w:top w:type="dxa" w:w="80"/>
              <w:left w:type="dxa" w:w="100"/>
              <w:bottom w:type="dxa" w:w="80"/>
              <w:right w:type="dxa" w:w="100"/>
            </w:tcMar>
          </w:tcPr>
          <w:p w14:paraId="626F3C5C">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35E49008">
            <w:pPr>
              <w:spacing w:after="40" w:line="240"/>
            </w:pPr>
            <w:r>
              <w:rPr>
                <w:rFonts w:ascii="Times New Roman" w:cs="Times New Roman" w:eastAsia="SimSun" w:hAnsi="Times New Roman"/>
                <w:sz w:val="21"/>
                <w:szCs w:val="21"/>
              </w:rPr>
              <w:t xml:space="preserve">Fig S1-S3. Per-cohort QC filter distributions and doublet-rate summaries</w:t>
            </w:r>
          </w:p>
        </w:tc>
        <w:tc>
          <w:tcPr>
            <w:tcW w:type="dxa" w:w="6400"/>
            <w:tcMar>
              <w:top w:type="dxa" w:w="80"/>
              <w:left w:type="dxa" w:w="100"/>
              <w:bottom w:type="dxa" w:w="80"/>
              <w:right w:type="dxa" w:w="100"/>
            </w:tcMar>
          </w:tcPr>
          <w:p w14:paraId="3E8165BA">
            <w:pPr>
              <w:spacing w:after="40" w:line="240"/>
            </w:pPr>
            <w:r>
              <w:rPr>
                <w:rFonts w:ascii="Times New Roman" w:cs="Times New Roman" w:eastAsia="SimSun" w:hAnsi="Times New Roman"/>
                <w:sz w:val="21"/>
                <w:szCs w:val="21"/>
              </w:rPr>
              <w:t xml:space="preserve">Supplementary</w:t>
            </w:r>
          </w:p>
        </w:tc>
      </w:tr>
      <w:tr>
        <w:trPr>
          <w:cantSplit/>
        </w:trPr>
        <w:tc>
          <w:tcPr>
            <w:tcW w:type="dxa" w:w="2500"/>
            <w:tcMar>
              <w:top w:type="dxa" w:w="80"/>
              <w:left w:type="dxa" w:w="100"/>
              <w:bottom w:type="dxa" w:w="80"/>
              <w:right w:type="dxa" w:w="100"/>
            </w:tcMar>
          </w:tcPr>
          <w:p w14:paraId="3E3D4B08">
            <w:pPr>
              <w:spacing w:after="40" w:line="240"/>
            </w:pPr>
            <w:r>
              <w:rPr>
                <w:rFonts w:ascii="Times New Roman" w:cs="Times New Roman" w:eastAsia="SimSun" w:hAnsi="Times New Roman"/>
                <w:sz w:val="21"/>
                <w:szCs w:val="21"/>
              </w:rPr>
              <w:t xml:space="preserve">Fig S4. Biology-protection audit (excluded versus kept immune-marker profiles, PTPRC rule)</w:t>
            </w:r>
          </w:p>
        </w:tc>
        <w:tc>
          <w:tcPr>
            <w:tcW w:type="dxa" w:w="6400"/>
            <w:tcMar>
              <w:top w:type="dxa" w:w="80"/>
              <w:left w:type="dxa" w:w="100"/>
              <w:bottom w:type="dxa" w:w="80"/>
              <w:right w:type="dxa" w:w="100"/>
            </w:tcMar>
          </w:tcPr>
          <w:p w14:paraId="032915AE">
            <w:pPr>
              <w:spacing w:after="40" w:line="240"/>
            </w:pPr>
            <w:r>
              <w:rPr>
                <w:rFonts w:ascii="Times New Roman" w:cs="Times New Roman" w:eastAsia="SimSun" w:hAnsi="Times New Roman"/>
                <w:sz w:val="21"/>
                <w:szCs w:val="21"/>
              </w:rPr>
              <w:t xml:space="preserve">Supplementary</w:t>
            </w:r>
          </w:p>
        </w:tc>
      </w:tr>
      <w:tr>
        <w:trPr>
          <w:cantSplit/>
        </w:trPr>
        <w:tc>
          <w:tcPr>
            <w:tcW w:type="dxa" w:w="2500"/>
            <w:tcMar>
              <w:top w:type="dxa" w:w="80"/>
              <w:left w:type="dxa" w:w="100"/>
              <w:bottom w:type="dxa" w:w="80"/>
              <w:right w:type="dxa" w:w="100"/>
            </w:tcMar>
          </w:tcPr>
          <w:p w14:paraId="6411D388">
            <w:pPr>
              <w:spacing w:after="40" w:line="240"/>
            </w:pPr>
            <w:r>
              <w:rPr>
                <w:rFonts w:ascii="Times New Roman" w:cs="Times New Roman" w:eastAsia="SimSun" w:hAnsi="Times New Roman"/>
                <w:sz w:val="21"/>
                <w:szCs w:val="21"/>
              </w:rPr>
              <w:t xml:space="preserve">Fig S5-S6. Integration diagnostics (cLISI/iLISI distributions; Harmony convergence)</w:t>
            </w:r>
          </w:p>
        </w:tc>
        <w:tc>
          <w:tcPr>
            <w:tcW w:type="dxa" w:w="6400"/>
            <w:tcMar>
              <w:top w:type="dxa" w:w="80"/>
              <w:left w:type="dxa" w:w="100"/>
              <w:bottom w:type="dxa" w:w="80"/>
              <w:right w:type="dxa" w:w="100"/>
            </w:tcMar>
          </w:tcPr>
          <w:p w14:paraId="3C5847D8">
            <w:pPr>
              <w:spacing w:after="40" w:line="240"/>
            </w:pPr>
            <w:r>
              <w:rPr>
                <w:rFonts w:ascii="Times New Roman" w:cs="Times New Roman" w:eastAsia="SimSun" w:hAnsi="Times New Roman"/>
                <w:sz w:val="21"/>
                <w:szCs w:val="21"/>
              </w:rPr>
              <w:t xml:space="preserve">Supplementary</w:t>
            </w:r>
          </w:p>
        </w:tc>
      </w:tr>
      <w:tr>
        <w:trPr>
          <w:cantSplit/>
        </w:trPr>
        <w:tc>
          <w:tcPr>
            <w:tcW w:type="dxa" w:w="2500"/>
            <w:tcMar>
              <w:top w:type="dxa" w:w="80"/>
              <w:left w:type="dxa" w:w="100"/>
              <w:bottom w:type="dxa" w:w="80"/>
              <w:right w:type="dxa" w:w="100"/>
            </w:tcMar>
          </w:tcPr>
          <w:p w14:paraId="3B3F9386">
            <w:pPr>
              <w:spacing w:after="40" w:line="240"/>
            </w:pPr>
            <w:r>
              <w:rPr>
                <w:rFonts w:ascii="Times New Roman" w:cs="Times New Roman" w:eastAsia="SimSun" w:hAnsi="Times New Roman"/>
                <w:sz w:val="21"/>
                <w:szCs w:val="21"/>
              </w:rPr>
              <w:t xml:space="preserve">Fig S7. Micro-cluster review (clusters 26/27/28 diagnostics)</w:t>
            </w:r>
          </w:p>
        </w:tc>
        <w:tc>
          <w:tcPr>
            <w:tcW w:type="dxa" w:w="6400"/>
            <w:tcMar>
              <w:top w:type="dxa" w:w="80"/>
              <w:left w:type="dxa" w:w="100"/>
              <w:bottom w:type="dxa" w:w="80"/>
              <w:right w:type="dxa" w:w="100"/>
            </w:tcMar>
          </w:tcPr>
          <w:p w14:paraId="3E13750C">
            <w:pPr>
              <w:spacing w:after="40" w:line="240"/>
            </w:pPr>
            <w:r>
              <w:rPr>
                <w:rFonts w:ascii="Times New Roman" w:cs="Times New Roman" w:eastAsia="SimSun" w:hAnsi="Times New Roman"/>
                <w:sz w:val="21"/>
                <w:szCs w:val="21"/>
              </w:rPr>
              <w:t xml:space="preserve">Supplementary</w:t>
            </w:r>
          </w:p>
        </w:tc>
      </w:tr>
      <w:tr>
        <w:trPr>
          <w:cantSplit/>
        </w:trPr>
        <w:tc>
          <w:tcPr>
            <w:tcW w:type="dxa" w:w="2500"/>
            <w:tcMar>
              <w:top w:type="dxa" w:w="80"/>
              <w:left w:type="dxa" w:w="100"/>
              <w:bottom w:type="dxa" w:w="80"/>
              <w:right w:type="dxa" w:w="100"/>
            </w:tcMar>
          </w:tcPr>
          <w:p w14:paraId="4B455C7C">
            <w:pPr>
              <w:spacing w:after="40" w:line="240"/>
            </w:pPr>
            <w:r>
              <w:rPr>
                <w:rFonts w:ascii="Times New Roman" w:cs="Times New Roman" w:eastAsia="SimSun" w:hAnsi="Times New Roman"/>
                <w:sz w:val="21"/>
                <w:szCs w:val="21"/>
              </w:rPr>
              <w:t xml:space="preserve">Table 1. Processed datasets, platforms, counts, roles</w:t>
            </w:r>
          </w:p>
        </w:tc>
        <w:tc>
          <w:tcPr>
            <w:tcW w:type="dxa" w:w="6400"/>
            <w:tcMar>
              <w:top w:type="dxa" w:w="80"/>
              <w:left w:type="dxa" w:w="100"/>
              <w:bottom w:type="dxa" w:w="80"/>
              <w:right w:type="dxa" w:w="100"/>
            </w:tcMar>
          </w:tcPr>
          <w:p w14:paraId="4FD2A6D2">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2FBFF1AE">
            <w:pPr>
              <w:spacing w:after="40" w:line="240"/>
            </w:pPr>
            <w:r>
              <w:rPr>
                <w:rFonts w:ascii="Times New Roman" w:cs="Times New Roman" w:eastAsia="SimSun" w:hAnsi="Times New Roman"/>
                <w:sz w:val="21"/>
                <w:szCs w:val="21"/>
              </w:rPr>
              <w:t xml:space="preserve">Table 2. Flagged arrays under the 2-of-3 rule</w:t>
            </w:r>
          </w:p>
        </w:tc>
        <w:tc>
          <w:tcPr>
            <w:tcW w:type="dxa" w:w="6400"/>
            <w:tcMar>
              <w:top w:type="dxa" w:w="80"/>
              <w:left w:type="dxa" w:w="100"/>
              <w:bottom w:type="dxa" w:w="80"/>
              <w:right w:type="dxa" w:w="100"/>
            </w:tcMar>
          </w:tcPr>
          <w:p w14:paraId="609FEA6E">
            <w:pPr>
              <w:spacing w:after="40" w:line="240"/>
            </w:pPr>
            <w:r>
              <w:rPr>
                <w:rFonts w:ascii="Times New Roman" w:cs="Times New Roman" w:eastAsia="SimSun" w:hAnsi="Times New Roman"/>
                <w:sz w:val="21"/>
                <w:szCs w:val="21"/>
              </w:rPr>
              <w:t xml:space="preserve">Main (or Supplementary per journal)</w:t>
            </w:r>
          </w:p>
        </w:tc>
      </w:tr>
      <w:tr>
        <w:trPr>
          <w:cantSplit/>
        </w:trPr>
        <w:tc>
          <w:tcPr>
            <w:tcW w:type="dxa" w:w="2500"/>
            <w:tcMar>
              <w:top w:type="dxa" w:w="80"/>
              <w:left w:type="dxa" w:w="100"/>
              <w:bottom w:type="dxa" w:w="80"/>
              <w:right w:type="dxa" w:w="100"/>
            </w:tcMar>
          </w:tcPr>
          <w:p w14:paraId="0444AF2C">
            <w:pPr>
              <w:spacing w:after="40" w:line="240"/>
            </w:pPr>
            <w:r>
              <w:rPr>
                <w:rFonts w:ascii="Times New Roman" w:cs="Times New Roman" w:eastAsia="SimSun" w:hAnsi="Times New Roman"/>
                <w:sz w:val="21"/>
                <w:szCs w:val="21"/>
              </w:rPr>
              <w:t xml:space="preserve">Table 3. [S3 contrast summary — after S3]</w:t>
            </w:r>
          </w:p>
        </w:tc>
        <w:tc>
          <w:tcPr>
            <w:tcW w:type="dxa" w:w="6400"/>
            <w:tcMar>
              <w:top w:type="dxa" w:w="80"/>
              <w:left w:type="dxa" w:w="100"/>
              <w:bottom w:type="dxa" w:w="80"/>
              <w:right w:type="dxa" w:w="100"/>
            </w:tcMar>
          </w:tcPr>
          <w:p w14:paraId="15CF3F98">
            <w:pPr>
              <w:spacing w:after="40" w:line="240"/>
            </w:pPr>
            <w:r>
              <w:rPr>
                <w:rFonts w:ascii="Times New Roman" w:cs="Times New Roman" w:eastAsia="SimSun" w:hAnsi="Times New Roman"/>
                <w:sz w:val="21"/>
                <w:szCs w:val="21"/>
              </w:rPr>
              <w:t xml:space="preserve">Main</w:t>
            </w:r>
          </w:p>
        </w:tc>
      </w:tr>
      <w:tr>
        <w:trPr>
          <w:cantSplit/>
        </w:trPr>
        <w:tc>
          <w:tcPr>
            <w:tcW w:type="dxa" w:w="2500"/>
            <w:tcMar>
              <w:top w:type="dxa" w:w="80"/>
              <w:left w:type="dxa" w:w="100"/>
              <w:bottom w:type="dxa" w:w="80"/>
              <w:right w:type="dxa" w:w="100"/>
            </w:tcMar>
          </w:tcPr>
          <w:p w14:paraId="094C847A">
            <w:pPr>
              <w:spacing w:after="40" w:line="240"/>
            </w:pPr>
            <w:r>
              <w:rPr>
                <w:rFonts w:ascii="Times New Roman" w:cs="Times New Roman" w:eastAsia="SimSun" w:hAnsi="Times New Roman"/>
                <w:sz w:val="21"/>
                <w:szCs w:val="21"/>
              </w:rPr>
              <w:t xml:space="preserve">Table S1. Dataset manifest with acquisition checksums</w:t>
            </w:r>
          </w:p>
        </w:tc>
        <w:tc>
          <w:tcPr>
            <w:tcW w:type="dxa" w:w="6400"/>
            <w:tcMar>
              <w:top w:type="dxa" w:w="80"/>
              <w:left w:type="dxa" w:w="100"/>
              <w:bottom w:type="dxa" w:w="80"/>
              <w:right w:type="dxa" w:w="100"/>
            </w:tcMar>
          </w:tcPr>
          <w:p w14:paraId="4F2A5B24">
            <w:pPr>
              <w:spacing w:after="40" w:line="240"/>
            </w:pPr>
            <w:r>
              <w:rPr>
                <w:rFonts w:ascii="Times New Roman" w:cs="Times New Roman" w:eastAsia="SimSun" w:hAnsi="Times New Roman"/>
                <w:sz w:val="21"/>
                <w:szCs w:val="21"/>
              </w:rPr>
              <w:t xml:space="preserve">Supplementary</w:t>
            </w:r>
          </w:p>
        </w:tc>
      </w:tr>
      <w:tr>
        <w:trPr>
          <w:cantSplit/>
        </w:trPr>
        <w:tc>
          <w:tcPr>
            <w:tcW w:type="dxa" w:w="2500"/>
            <w:tcMar>
              <w:top w:type="dxa" w:w="80"/>
              <w:left w:type="dxa" w:w="100"/>
              <w:bottom w:type="dxa" w:w="80"/>
              <w:right w:type="dxa" w:w="100"/>
            </w:tcMar>
          </w:tcPr>
          <w:p w14:paraId="4FCE0986">
            <w:pPr>
              <w:spacing w:after="40" w:line="240"/>
            </w:pPr>
            <w:r>
              <w:rPr>
                <w:rFonts w:ascii="Times New Roman" w:cs="Times New Roman" w:eastAsia="SimSun" w:hAnsi="Times New Roman"/>
                <w:sz w:val="21"/>
                <w:szCs w:val="21"/>
              </w:rPr>
              <w:t xml:space="preserve">Table S2. Pre-registered thresholds, amendments, and triggers</w:t>
            </w:r>
          </w:p>
        </w:tc>
        <w:tc>
          <w:tcPr>
            <w:tcW w:type="dxa" w:w="6400"/>
            <w:tcMar>
              <w:top w:type="dxa" w:w="80"/>
              <w:left w:type="dxa" w:w="100"/>
              <w:bottom w:type="dxa" w:w="80"/>
              <w:right w:type="dxa" w:w="100"/>
            </w:tcMar>
          </w:tcPr>
          <w:p w14:paraId="397F733A">
            <w:pPr>
              <w:spacing w:after="40" w:line="240"/>
            </w:pPr>
            <w:r>
              <w:rPr>
                <w:rFonts w:ascii="Times New Roman" w:cs="Times New Roman" w:eastAsia="SimSun" w:hAnsi="Times New Roman"/>
                <w:sz w:val="21"/>
                <w:szCs w:val="21"/>
              </w:rPr>
              <w:t xml:space="preserve">Supplementary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276"/>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 w:id="1">
    <w:p w14:paraId="2C1CE516">
      <w:pPr>
        <w:spacing w:after="160" w:line="276"/>
      </w:pPr>
      <w:r>
        <w:rPr>
          <w:rStyle w:val="FootnoteReference"/>
        </w:rPr>
        <w:footnoteRef/>
      </w:r>
      <w:r>
        <w:rPr>
          <w:rFonts w:ascii="Times New Roman" w:cs="Times New Roman" w:eastAsia="SimSun" w:hAnsi="Times New Roman"/>
          <w:sz w:val="24"/>
          <w:szCs w:val="24"/>
        </w:rPr>
        <w:t xml:space="preserve">Pre-registration deposit (OSF or equivalent) to be cited at submission; internal design documents dated 2026-09-11 and later govern this manuscript.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276"/>
      <w:jc w:val="center"/>
    </w:pPr>
    <w:r>
      <w:rPr>
        <w:rFonts w:ascii="Times New Roman" w:cs="Times New Roman" w:eastAsia="SimSun" w:hAnsi="Times New Roman"/>
        <w:color w:val="5A6B72"/>
        <w:sz w:val="18"/>
        <w:szCs w:val="18"/>
      </w:rPr>
      <w:t xml:space="preserve">Benign Immunoediting — Working Manuscript (S0-S2_03)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pPr>
      <w:spacing w:after="60"/>
    </w:pPr>
    <w:rPr>
      <w:sz w:val="24"/>
      <w:szCs w:val="24"/>
    </w:rPr>
  </w:style>
  <w:style w:type="paragraph" w:styleId="TOC2">
    <w:name w:val="TOC 2"/>
    <w:basedOn w:val="Normal"/>
    <w:pPr>
      <w:spacing w:after="40"/>
      <w:ind w:left="360"/>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2026-09-17T22:57:14.350Z</dcterms:created>
  <dcterms:modified xsi:type="dcterms:W3CDTF">2026-09-17T22:57:14.350Z</dcterms:modified>
</cp:coreProperties>
</file>

<file path=docProps/custom.xml><?xml version="1.0" encoding="utf-8"?>
<Properties xmlns="http://schemas.openxmlformats.org/officeDocument/2006/custom-properties" xmlns:vt="http://schemas.openxmlformats.org/officeDocument/2006/docPropsVTypes"/>
</file>