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DB242" w14:textId="430D1EA7" w:rsidR="008770CF" w:rsidRDefault="008D499C" w:rsidP="00FC1459">
      <w:pPr>
        <w:jc w:val="both"/>
        <w:rPr>
          <w:rFonts w:asciiTheme="majorBidi" w:hAnsiTheme="majorBidi" w:cstheme="majorBidi"/>
          <w:b/>
          <w:bCs/>
          <w:sz w:val="28"/>
          <w:szCs w:val="28"/>
        </w:rPr>
      </w:pPr>
      <w:r w:rsidRPr="008D499C">
        <w:rPr>
          <w:rFonts w:asciiTheme="majorBidi" w:hAnsiTheme="majorBidi" w:cstheme="majorBidi"/>
          <w:b/>
          <w:bCs/>
          <w:sz w:val="28"/>
          <w:szCs w:val="28"/>
        </w:rPr>
        <w:t>A conserved low-proliferation, adaptive-effector–quiet transcriptional program in ectopic endometriosis: evidence for an equilibrium-like survival state</w:t>
      </w:r>
    </w:p>
    <w:p w14:paraId="19BF0A9A" w14:textId="77777777" w:rsidR="008D499C" w:rsidRDefault="008D499C" w:rsidP="00FC1459">
      <w:pPr>
        <w:jc w:val="both"/>
        <w:rPr>
          <w:rFonts w:asciiTheme="majorBidi" w:hAnsiTheme="majorBidi" w:cstheme="majorBidi"/>
          <w:b/>
          <w:bCs/>
          <w:sz w:val="28"/>
          <w:szCs w:val="28"/>
        </w:rPr>
      </w:pPr>
    </w:p>
    <w:p w14:paraId="73FBB4F1" w14:textId="77777777" w:rsidR="008D499C" w:rsidRPr="008D499C" w:rsidRDefault="008D499C" w:rsidP="00FC1459">
      <w:pPr>
        <w:spacing w:before="100" w:beforeAutospacing="1" w:after="100" w:afterAutospacing="1"/>
        <w:jc w:val="both"/>
        <w:outlineLvl w:val="1"/>
        <w:rPr>
          <w:b/>
          <w:bCs/>
          <w:sz w:val="24"/>
          <w:szCs w:val="24"/>
        </w:rPr>
      </w:pPr>
      <w:r w:rsidRPr="008D499C">
        <w:rPr>
          <w:b/>
          <w:bCs/>
          <w:sz w:val="24"/>
          <w:szCs w:val="24"/>
        </w:rPr>
        <w:t>Background</w:t>
      </w:r>
    </w:p>
    <w:p w14:paraId="1A596DAD" w14:textId="6A74F5DE" w:rsidR="008D499C" w:rsidRPr="008D499C" w:rsidRDefault="008D499C" w:rsidP="00FC1459">
      <w:pPr>
        <w:spacing w:before="100" w:beforeAutospacing="1" w:after="100" w:afterAutospacing="1"/>
        <w:jc w:val="both"/>
        <w:rPr>
          <w:sz w:val="24"/>
          <w:szCs w:val="24"/>
        </w:rPr>
      </w:pPr>
      <w:r w:rsidRPr="008D499C">
        <w:rPr>
          <w:sz w:val="24"/>
          <w:szCs w:val="24"/>
        </w:rPr>
        <w:t>Endometriosis persists for years as ectopic tissue despite continuous exposure to the peritoneal immune environment. Whether ectopic lesions maintain a consistent adaptive immune-effector response or instead adopt a transcriptional state compatible with long-term persistence, remains unresolved. We investigated whether independent endometriosis transcriptomes converge on a reproducible pattern of adaptive immune-effector activity, proliferation-associated expression, and stress-associated tissue remodeling.</w:t>
      </w:r>
    </w:p>
    <w:p w14:paraId="73D13D84" w14:textId="77777777" w:rsidR="008D499C" w:rsidRPr="008D499C" w:rsidRDefault="008D499C" w:rsidP="00FC1459">
      <w:pPr>
        <w:spacing w:before="100" w:beforeAutospacing="1" w:after="100" w:afterAutospacing="1"/>
        <w:jc w:val="both"/>
        <w:outlineLvl w:val="1"/>
        <w:rPr>
          <w:b/>
          <w:bCs/>
          <w:sz w:val="24"/>
          <w:szCs w:val="24"/>
        </w:rPr>
      </w:pPr>
      <w:r w:rsidRPr="008D499C">
        <w:rPr>
          <w:b/>
          <w:bCs/>
          <w:sz w:val="24"/>
          <w:szCs w:val="24"/>
        </w:rPr>
        <w:t>Methods</w:t>
      </w:r>
    </w:p>
    <w:p w14:paraId="3D31EF95" w14:textId="77777777" w:rsidR="008D499C" w:rsidRPr="008D499C" w:rsidRDefault="008D499C" w:rsidP="00FC1459">
      <w:pPr>
        <w:spacing w:before="100" w:beforeAutospacing="1" w:after="100" w:afterAutospacing="1"/>
        <w:jc w:val="both"/>
        <w:rPr>
          <w:sz w:val="24"/>
          <w:szCs w:val="24"/>
        </w:rPr>
      </w:pPr>
      <w:r w:rsidRPr="008D499C">
        <w:rPr>
          <w:sz w:val="24"/>
          <w:szCs w:val="24"/>
        </w:rPr>
        <w:t xml:space="preserve">We performed a prespecified random-effects meta-analysis of six independent bulk transcriptomic cohorts comparing ectopic endometriotic lesions with </w:t>
      </w:r>
      <w:proofErr w:type="spellStart"/>
      <w:r w:rsidRPr="008D499C">
        <w:rPr>
          <w:sz w:val="24"/>
          <w:szCs w:val="24"/>
        </w:rPr>
        <w:t>eutopic</w:t>
      </w:r>
      <w:proofErr w:type="spellEnd"/>
      <w:r w:rsidRPr="008D499C">
        <w:rPr>
          <w:sz w:val="24"/>
          <w:szCs w:val="24"/>
        </w:rPr>
        <w:t xml:space="preserve"> endometrium. Differential expression was assessed across 21,355 genes using a locked Benjamini–Hochberg false-discovery-rate threshold. Five functional axes were prespecified: cytotoxicity, antigen presentation, senescence/dormancy, proliferation, and stromal extracellular-matrix biology. Robustness was evaluated through six leave-one-cohort-out analyses and a prespecified cohort-exclusion analysis. Single-cell </w:t>
      </w:r>
      <w:proofErr w:type="spellStart"/>
      <w:r w:rsidRPr="008D499C">
        <w:rPr>
          <w:sz w:val="24"/>
          <w:szCs w:val="24"/>
        </w:rPr>
        <w:t>pseudobulk</w:t>
      </w:r>
      <w:proofErr w:type="spellEnd"/>
      <w:r w:rsidRPr="008D499C">
        <w:rPr>
          <w:sz w:val="24"/>
          <w:szCs w:val="24"/>
        </w:rPr>
        <w:t xml:space="preserve"> analyses were used to localize axis-associated signals across three cohorts, and an independent single-cell atlas comprising 373,851 cells from 21 patients was used for external validation. Prespecified LINCS L1000 perturbational analyses and exploratory </w:t>
      </w:r>
      <w:proofErr w:type="spellStart"/>
      <w:r w:rsidRPr="008D499C">
        <w:rPr>
          <w:sz w:val="24"/>
          <w:szCs w:val="24"/>
        </w:rPr>
        <w:t>dienogest</w:t>
      </w:r>
      <w:proofErr w:type="spellEnd"/>
      <w:r w:rsidRPr="008D499C">
        <w:rPr>
          <w:sz w:val="24"/>
          <w:szCs w:val="24"/>
        </w:rPr>
        <w:t xml:space="preserve"> analyses assessed whether the transcriptional program showed evidence of pharmacological reversal.</w:t>
      </w:r>
    </w:p>
    <w:p w14:paraId="3FC10012" w14:textId="77777777" w:rsidR="008D499C" w:rsidRPr="008D499C" w:rsidRDefault="008D499C" w:rsidP="00FC1459">
      <w:pPr>
        <w:spacing w:before="100" w:beforeAutospacing="1" w:after="100" w:afterAutospacing="1"/>
        <w:jc w:val="both"/>
        <w:outlineLvl w:val="1"/>
        <w:rPr>
          <w:b/>
          <w:bCs/>
          <w:sz w:val="24"/>
          <w:szCs w:val="24"/>
        </w:rPr>
      </w:pPr>
      <w:r w:rsidRPr="008D499C">
        <w:rPr>
          <w:b/>
          <w:bCs/>
          <w:sz w:val="24"/>
          <w:szCs w:val="24"/>
        </w:rPr>
        <w:t>Results</w:t>
      </w:r>
    </w:p>
    <w:p w14:paraId="6A2C7D51" w14:textId="113CDFB8" w:rsidR="008D499C" w:rsidRPr="008D499C" w:rsidRDefault="008D499C" w:rsidP="00FC1459">
      <w:pPr>
        <w:spacing w:before="100" w:beforeAutospacing="1" w:after="100" w:afterAutospacing="1"/>
        <w:jc w:val="both"/>
        <w:rPr>
          <w:sz w:val="24"/>
          <w:szCs w:val="24"/>
        </w:rPr>
      </w:pPr>
      <w:r w:rsidRPr="008D499C">
        <w:rPr>
          <w:sz w:val="24"/>
          <w:szCs w:val="24"/>
        </w:rPr>
        <w:t xml:space="preserve">The cytotoxicity and antigen-presentation axes did not show consistent directional or statistically significant changes across the bulk cohorts, indicating limited evidence for coordinated activation of the predefined adaptive immune-effector programs. A total of 485 genes met Tier-1 criteria, including 121 up-regulated and 364 down-regulated genes. Despite substantial between-cohort heterogeneity, 66 genes remained Tier-1 under every cohort-removal scenario. The up-regulated component of this robust core included immediate-early response genes, including </w:t>
      </w:r>
      <w:r w:rsidRPr="008D499C">
        <w:rPr>
          <w:b/>
          <w:bCs/>
          <w:sz w:val="24"/>
          <w:szCs w:val="24"/>
        </w:rPr>
        <w:t>FOS</w:t>
      </w:r>
      <w:r w:rsidRPr="008D499C">
        <w:rPr>
          <w:sz w:val="24"/>
          <w:szCs w:val="24"/>
        </w:rPr>
        <w:t xml:space="preserve">, </w:t>
      </w:r>
      <w:r w:rsidRPr="008D499C">
        <w:rPr>
          <w:b/>
          <w:bCs/>
          <w:sz w:val="24"/>
          <w:szCs w:val="24"/>
        </w:rPr>
        <w:t>FOSB</w:t>
      </w:r>
      <w:r w:rsidRPr="008D499C">
        <w:rPr>
          <w:sz w:val="24"/>
          <w:szCs w:val="24"/>
        </w:rPr>
        <w:t xml:space="preserve">, and </w:t>
      </w:r>
      <w:r w:rsidRPr="008D499C">
        <w:rPr>
          <w:b/>
          <w:bCs/>
          <w:sz w:val="24"/>
          <w:szCs w:val="24"/>
        </w:rPr>
        <w:t>EGR1</w:t>
      </w:r>
      <w:r w:rsidRPr="008D499C">
        <w:rPr>
          <w:sz w:val="24"/>
          <w:szCs w:val="24"/>
        </w:rPr>
        <w:t xml:space="preserve">, together with </w:t>
      </w:r>
      <w:r w:rsidRPr="008D499C">
        <w:rPr>
          <w:b/>
          <w:bCs/>
          <w:sz w:val="24"/>
          <w:szCs w:val="24"/>
        </w:rPr>
        <w:t>IL6</w:t>
      </w:r>
      <w:r w:rsidRPr="008D499C">
        <w:rPr>
          <w:sz w:val="24"/>
          <w:szCs w:val="24"/>
        </w:rPr>
        <w:t xml:space="preserve">, </w:t>
      </w:r>
      <w:r w:rsidRPr="008D499C">
        <w:rPr>
          <w:b/>
          <w:bCs/>
          <w:sz w:val="24"/>
          <w:szCs w:val="24"/>
        </w:rPr>
        <w:t>SOCS3</w:t>
      </w:r>
      <w:r w:rsidRPr="008D499C">
        <w:rPr>
          <w:sz w:val="24"/>
          <w:szCs w:val="24"/>
        </w:rPr>
        <w:t xml:space="preserve">, and </w:t>
      </w:r>
      <w:r w:rsidRPr="008D499C">
        <w:rPr>
          <w:b/>
          <w:bCs/>
          <w:sz w:val="24"/>
          <w:szCs w:val="24"/>
        </w:rPr>
        <w:t>C1QB</w:t>
      </w:r>
      <w:r w:rsidRPr="008D499C">
        <w:rPr>
          <w:sz w:val="24"/>
          <w:szCs w:val="24"/>
        </w:rPr>
        <w:t xml:space="preserve">. The down-regulated component included genes associated with cell-cycle and structural functions. The proliferation axis was reduced in ectopic tissue </w:t>
      </w:r>
      <m:oMath>
        <m:d>
          <m:dPr>
            <m:sepChr m:val=","/>
            <m:ctrlPr>
              <w:rPr>
                <w:rFonts w:ascii="Cambria Math" w:hAnsi="Cambria Math"/>
                <w:sz w:val="24"/>
                <w:szCs w:val="24"/>
              </w:rPr>
            </m:ctrlPr>
          </m:dPr>
          <m:e>
            <m:r>
              <w:rPr>
                <w:rFonts w:ascii="Cambria Math" w:hAnsi="Cambria Math"/>
                <w:sz w:val="24"/>
                <w:szCs w:val="24"/>
              </w:rPr>
              <m:t>M</m:t>
            </m:r>
          </m:e>
          <m:e>
            <m:r>
              <w:rPr>
                <w:rFonts w:ascii="Cambria Math" w:hAnsi="Cambria Math"/>
                <w:sz w:val="24"/>
                <w:szCs w:val="24"/>
              </w:rPr>
              <m:t>=-0.806</m:t>
            </m:r>
            <m:r>
              <m:rPr>
                <m:nor/>
              </m:rPr>
              <w:rPr>
                <w:sz w:val="24"/>
                <w:szCs w:val="24"/>
              </w:rPr>
              <m:t> </m:t>
            </m:r>
            <m:r>
              <m:rPr>
                <m:sty m:val="p"/>
              </m:rPr>
              <w:rPr>
                <w:rFonts w:ascii="Cambria Math" w:hAnsi="Cambria Math"/>
                <w:sz w:val="24"/>
                <w:szCs w:val="24"/>
              </w:rPr>
              <m:t>FDR</m:t>
            </m:r>
            <m:r>
              <w:rPr>
                <w:rFonts w:ascii="Cambria Math" w:hAnsi="Cambria Math"/>
                <w:sz w:val="24"/>
                <w:szCs w:val="24"/>
              </w:rPr>
              <m:t>=0.039</m:t>
            </m:r>
          </m:e>
        </m:d>
      </m:oMath>
      <w:r w:rsidRPr="008D499C">
        <w:rPr>
          <w:sz w:val="24"/>
          <w:szCs w:val="24"/>
        </w:rPr>
        <w:t xml:space="preserve">and showed concordant direction in the reserved paired cohort. </w:t>
      </w:r>
      <w:r w:rsidRPr="008D499C">
        <w:rPr>
          <w:b/>
          <w:bCs/>
          <w:sz w:val="24"/>
          <w:szCs w:val="24"/>
        </w:rPr>
        <w:t>SERPINE1</w:t>
      </w:r>
      <w:r w:rsidRPr="008D499C">
        <w:rPr>
          <w:sz w:val="24"/>
          <w:szCs w:val="24"/>
        </w:rPr>
        <w:t xml:space="preserve"> was the only gene among the 24 prespecified axis genes to meet Tier-1 criteria </w:t>
      </w:r>
      <m:oMath>
        <m:d>
          <m:dPr>
            <m:sepChr m:val=","/>
            <m:ctrlPr>
              <w:rPr>
                <w:rFonts w:ascii="Cambria Math" w:hAnsi="Cambria Math"/>
                <w:sz w:val="24"/>
                <w:szCs w:val="24"/>
              </w:rPr>
            </m:ctrlPr>
          </m:dPr>
          <m:e>
            <m:r>
              <w:rPr>
                <w:rFonts w:ascii="Cambria Math" w:hAnsi="Cambria Math"/>
                <w:sz w:val="24"/>
                <w:szCs w:val="24"/>
              </w:rPr>
              <m:t>M</m:t>
            </m:r>
          </m:e>
          <m:e>
            <m:r>
              <w:rPr>
                <w:rFonts w:ascii="Cambria Math" w:hAnsi="Cambria Math"/>
                <w:sz w:val="24"/>
                <w:szCs w:val="24"/>
              </w:rPr>
              <m:t>=+0.733</m:t>
            </m:r>
            <m:r>
              <m:rPr>
                <m:nor/>
              </m:rPr>
              <w:rPr>
                <w:sz w:val="24"/>
                <w:szCs w:val="24"/>
              </w:rPr>
              <m:t> </m:t>
            </m:r>
            <m:r>
              <m:rPr>
                <m:sty m:val="p"/>
              </m:rPr>
              <w:rPr>
                <w:rFonts w:ascii="Cambria Math" w:hAnsi="Cambria Math"/>
                <w:sz w:val="24"/>
                <w:szCs w:val="24"/>
              </w:rPr>
              <m:t>FDR</m:t>
            </m:r>
            <m:r>
              <w:rPr>
                <w:rFonts w:ascii="Cambria Math" w:hAnsi="Cambria Math"/>
                <w:sz w:val="24"/>
                <w:szCs w:val="24"/>
              </w:rPr>
              <m:t>=0.017</m:t>
            </m:r>
          </m:e>
        </m:d>
      </m:oMath>
      <w:r>
        <w:rPr>
          <w:sz w:val="24"/>
          <w:szCs w:val="24"/>
        </w:rPr>
        <w:t xml:space="preserve">and its increased expression was </w:t>
      </w:r>
      <w:proofErr w:type="spellStart"/>
      <w:r>
        <w:rPr>
          <w:sz w:val="24"/>
          <w:szCs w:val="24"/>
        </w:rPr>
        <w:t>localised</w:t>
      </w:r>
      <w:proofErr w:type="spellEnd"/>
      <w:r>
        <w:rPr>
          <w:sz w:val="24"/>
          <w:szCs w:val="24"/>
        </w:rPr>
        <w:t xml:space="preserve"> to endothelial and perivascular subclusters in a</w:t>
      </w:r>
      <w:r w:rsidRPr="008D499C">
        <w:rPr>
          <w:sz w:val="24"/>
          <w:szCs w:val="24"/>
        </w:rPr>
        <w:t xml:space="preserve"> single-cell cohort.</w:t>
      </w:r>
    </w:p>
    <w:p w14:paraId="47D070E8" w14:textId="77777777" w:rsidR="008D499C" w:rsidRPr="008D499C" w:rsidRDefault="008D499C" w:rsidP="00FC1459">
      <w:pPr>
        <w:spacing w:before="100" w:beforeAutospacing="1" w:after="100" w:afterAutospacing="1"/>
        <w:jc w:val="both"/>
        <w:rPr>
          <w:sz w:val="24"/>
          <w:szCs w:val="24"/>
        </w:rPr>
      </w:pPr>
      <w:r w:rsidRPr="008D499C">
        <w:rPr>
          <w:sz w:val="24"/>
          <w:szCs w:val="24"/>
        </w:rPr>
        <w:t xml:space="preserve">In the independent atlas, the Tier-1 directional signature was positive in all eight tested lineages and met the prespecified multiple-testing threshold in the mural compartment </w:t>
      </w:r>
      <m:oMath>
        <m:d>
          <m:dPr>
            <m:sepChr m:val=","/>
            <m:ctrlPr>
              <w:rPr>
                <w:rFonts w:ascii="Cambria Math" w:hAnsi="Cambria Math"/>
                <w:sz w:val="24"/>
                <w:szCs w:val="24"/>
              </w:rPr>
            </m:ctrlPr>
          </m:dPr>
          <m:e>
            <m:r>
              <m:rPr>
                <m:sty m:val="p"/>
              </m:rPr>
              <w:rPr>
                <w:rFonts w:ascii="Cambria Math" w:hAnsi="Cambria Math"/>
                <w:sz w:val="24"/>
                <w:szCs w:val="24"/>
              </w:rPr>
              <m:t>Δ</m:t>
            </m:r>
          </m:e>
          <m:e>
            <m:r>
              <w:rPr>
                <w:rFonts w:ascii="Cambria Math" w:hAnsi="Cambria Math"/>
                <w:sz w:val="24"/>
                <w:szCs w:val="24"/>
              </w:rPr>
              <m:t>=+0.61</m:t>
            </m:r>
            <m:r>
              <m:rPr>
                <m:nor/>
              </m:rPr>
              <w:rPr>
                <w:sz w:val="24"/>
                <w:szCs w:val="24"/>
              </w:rPr>
              <m:t> </m:t>
            </m:r>
            <m:r>
              <m:rPr>
                <m:sty m:val="p"/>
              </m:rPr>
              <w:rPr>
                <w:rFonts w:ascii="Cambria Math" w:hAnsi="Cambria Math"/>
                <w:sz w:val="24"/>
                <w:szCs w:val="24"/>
              </w:rPr>
              <m:t>FDR</m:t>
            </m:r>
            <m:r>
              <w:rPr>
                <w:rFonts w:ascii="Cambria Math" w:hAnsi="Cambria Math"/>
                <w:sz w:val="24"/>
                <w:szCs w:val="24"/>
              </w:rPr>
              <m:t>=0.0297</m:t>
            </m:r>
          </m:e>
        </m:d>
      </m:oMath>
      <w:r w:rsidRPr="008D499C">
        <w:rPr>
          <w:sz w:val="24"/>
          <w:szCs w:val="24"/>
        </w:rPr>
        <w:t xml:space="preserve">. This result remained significant after excluding patients shared between comparison arms </w:t>
      </w:r>
      <m:oMath>
        <m:d>
          <m:dPr>
            <m:ctrlPr>
              <w:rPr>
                <w:rFonts w:ascii="Cambria Math" w:hAnsi="Cambria Math"/>
                <w:sz w:val="24"/>
                <w:szCs w:val="24"/>
              </w:rPr>
            </m:ctrlPr>
          </m:dPr>
          <m:e>
            <m:r>
              <w:rPr>
                <w:rFonts w:ascii="Cambria Math" w:hAnsi="Cambria Math"/>
                <w:sz w:val="24"/>
                <w:szCs w:val="24"/>
              </w:rPr>
              <m:t>p=0.0032</m:t>
            </m:r>
          </m:e>
        </m:d>
      </m:oMath>
      <w:r w:rsidRPr="008D499C">
        <w:rPr>
          <w:sz w:val="24"/>
          <w:szCs w:val="24"/>
        </w:rPr>
        <w:t>. By contrast, the lineage-level SERPINE1 vascular-</w:t>
      </w:r>
      <w:r w:rsidRPr="008D499C">
        <w:rPr>
          <w:sz w:val="24"/>
          <w:szCs w:val="24"/>
        </w:rPr>
        <w:lastRenderedPageBreak/>
        <w:t>niche prediction was not replicated. Neither LINCS perturbational analyses nor exploratory dienogest analyses provided evidence that the transcriptional program was reversed.</w:t>
      </w:r>
    </w:p>
    <w:p w14:paraId="22883E03" w14:textId="77777777" w:rsidR="008D499C" w:rsidRPr="008D499C" w:rsidRDefault="008D499C" w:rsidP="00FC1459">
      <w:pPr>
        <w:spacing w:before="100" w:beforeAutospacing="1" w:after="100" w:afterAutospacing="1"/>
        <w:jc w:val="both"/>
        <w:outlineLvl w:val="1"/>
        <w:rPr>
          <w:b/>
          <w:bCs/>
          <w:sz w:val="24"/>
          <w:szCs w:val="24"/>
        </w:rPr>
      </w:pPr>
      <w:r w:rsidRPr="008D499C">
        <w:rPr>
          <w:b/>
          <w:bCs/>
          <w:sz w:val="24"/>
          <w:szCs w:val="24"/>
        </w:rPr>
        <w:t>Conclusions</w:t>
      </w:r>
    </w:p>
    <w:p w14:paraId="7D07516A" w14:textId="1B35004F" w:rsidR="008D499C" w:rsidRPr="00B815BF" w:rsidRDefault="008D499C" w:rsidP="00FC1459">
      <w:pPr>
        <w:spacing w:before="100" w:beforeAutospacing="1" w:after="100" w:afterAutospacing="1"/>
        <w:jc w:val="both"/>
        <w:rPr>
          <w:sz w:val="24"/>
          <w:szCs w:val="24"/>
          <w:rtl/>
        </w:rPr>
      </w:pPr>
      <w:r w:rsidRPr="008D499C">
        <w:rPr>
          <w:sz w:val="24"/>
          <w:szCs w:val="24"/>
        </w:rPr>
        <w:t xml:space="preserve">Across independent cohorts and analytical platforms, ectopic endometriotic tissue displays a conserved transcriptional state characterized by limited activation of predefined adaptive immune-effector programs, reduced proliferation-associated expression, and a robust stress-associated gene core. These findings support an equilibrium-like model of lesion persistence, in which ectopic tissue may survive through reduced tissue turnover and selective transcriptional adaptation rather than through sustained activation of adaptive cytotoxic programs. We propose </w:t>
      </w:r>
      <w:r w:rsidRPr="008D499C">
        <w:rPr>
          <w:b/>
          <w:bCs/>
          <w:sz w:val="24"/>
          <w:szCs w:val="24"/>
        </w:rPr>
        <w:t>benign immunoediting</w:t>
      </w:r>
      <w:r w:rsidRPr="008D499C">
        <w:rPr>
          <w:sz w:val="24"/>
          <w:szCs w:val="24"/>
        </w:rPr>
        <w:t xml:space="preserve"> as a conceptual framework for this state; its cellular mechanisms, biological basis, and reversibility require direct experimental testing.</w:t>
      </w:r>
    </w:p>
    <w:p w14:paraId="0BCA846F" w14:textId="77777777" w:rsidR="00B815BF" w:rsidRPr="00B815BF" w:rsidRDefault="00B815BF" w:rsidP="00FC1459">
      <w:pPr>
        <w:spacing w:before="100" w:beforeAutospacing="1" w:after="100" w:afterAutospacing="1"/>
        <w:jc w:val="both"/>
        <w:outlineLvl w:val="1"/>
        <w:rPr>
          <w:b/>
          <w:bCs/>
          <w:sz w:val="24"/>
          <w:szCs w:val="24"/>
        </w:rPr>
      </w:pPr>
      <w:r w:rsidRPr="00B815BF">
        <w:rPr>
          <w:b/>
          <w:bCs/>
          <w:sz w:val="24"/>
          <w:szCs w:val="24"/>
        </w:rPr>
        <w:t>1. Introduction</w:t>
      </w:r>
    </w:p>
    <w:p w14:paraId="73475A48" w14:textId="77777777" w:rsidR="00B815BF" w:rsidRPr="00B815BF" w:rsidRDefault="00B815BF" w:rsidP="00FC1459">
      <w:pPr>
        <w:spacing w:before="100" w:beforeAutospacing="1" w:after="100" w:afterAutospacing="1"/>
        <w:jc w:val="both"/>
        <w:rPr>
          <w:sz w:val="24"/>
          <w:szCs w:val="24"/>
        </w:rPr>
      </w:pPr>
      <w:r w:rsidRPr="00B815BF">
        <w:rPr>
          <w:sz w:val="24"/>
          <w:szCs w:val="24"/>
        </w:rPr>
        <w:t xml:space="preserve">Endometriosis is a chronic, estrogen-dependent disorder characterized by the presence of endometrial-like tissue outside the uterine cavity, most commonly within the peritoneal cavity and ovary. It affects an estimated 10% of women of reproductive age worldwide and is associated with pelvic pain, </w:t>
      </w:r>
      <w:proofErr w:type="spellStart"/>
      <w:r w:rsidRPr="00B815BF">
        <w:rPr>
          <w:sz w:val="24"/>
          <w:szCs w:val="24"/>
        </w:rPr>
        <w:t>dysmenorrhoea</w:t>
      </w:r>
      <w:proofErr w:type="spellEnd"/>
      <w:r w:rsidRPr="00B815BF">
        <w:rPr>
          <w:sz w:val="24"/>
          <w:szCs w:val="24"/>
        </w:rPr>
        <w:t xml:space="preserve">, infertility, and substantial impairment of quality of life (World Health Organization, 2025). Although the disease is often conceptualized through inflammation, angiogenesis, tissue </w:t>
      </w:r>
      <w:proofErr w:type="spellStart"/>
      <w:r w:rsidRPr="00B815BF">
        <w:rPr>
          <w:sz w:val="24"/>
          <w:szCs w:val="24"/>
        </w:rPr>
        <w:t>remodelling</w:t>
      </w:r>
      <w:proofErr w:type="spellEnd"/>
      <w:r w:rsidRPr="00B815BF">
        <w:rPr>
          <w:sz w:val="24"/>
          <w:szCs w:val="24"/>
        </w:rPr>
        <w:t>, and hormone responsiveness, the mechanisms that allow ectopic lesions to persist for years remain incompletely understood (Zondervan et al., 2020; As-Sanie et al., 2023).</w:t>
      </w:r>
    </w:p>
    <w:p w14:paraId="135F72B2" w14:textId="77777777" w:rsidR="00B815BF" w:rsidRPr="00B815BF" w:rsidRDefault="00B815BF" w:rsidP="00FC1459">
      <w:pPr>
        <w:spacing w:before="100" w:beforeAutospacing="1" w:after="100" w:afterAutospacing="1"/>
        <w:jc w:val="both"/>
        <w:rPr>
          <w:sz w:val="24"/>
          <w:szCs w:val="24"/>
        </w:rPr>
      </w:pPr>
      <w:r w:rsidRPr="00B815BF">
        <w:rPr>
          <w:sz w:val="24"/>
          <w:szCs w:val="24"/>
        </w:rPr>
        <w:t xml:space="preserve">A central unresolved question concerns the immune </w:t>
      </w:r>
      <w:proofErr w:type="spellStart"/>
      <w:r w:rsidRPr="00B815BF">
        <w:rPr>
          <w:sz w:val="24"/>
          <w:szCs w:val="24"/>
        </w:rPr>
        <w:t>behaviour</w:t>
      </w:r>
      <w:proofErr w:type="spellEnd"/>
      <w:r w:rsidRPr="00B815BF">
        <w:rPr>
          <w:sz w:val="24"/>
          <w:szCs w:val="24"/>
        </w:rPr>
        <w:t xml:space="preserve"> of ectopic tissue. Peritoneal lesions are exposed to a cellular and soluble immune environment that includes macrophages, natural killer cells, T lymphocytes, and inflammatory mediators. Previous studies have reported immune-cell infiltration, altered cytokine production, impaired cytotoxic activity, and altered antigen-presentation capacity in endometriosis (Ahn et al., 2023; Hogg et al., 2023). However, these observations do not establish a single consistent immune phenotype. Lesions differ in anatomical site, stage, hormonal exposure, vascularization, stromal composition, and cellular heterogeneity, and much of the existing evidence derives from small cohorts or from analyses in which cell-type composition is not explicitly modelled (Fonseca et al., 2023; Garcia-Alonso et al., 2023).</w:t>
      </w:r>
    </w:p>
    <w:p w14:paraId="4FBFD7ED" w14:textId="77777777" w:rsidR="00B815BF" w:rsidRPr="00B815BF" w:rsidRDefault="00B815BF" w:rsidP="00FC1459">
      <w:pPr>
        <w:spacing w:before="100" w:beforeAutospacing="1" w:after="100" w:afterAutospacing="1"/>
        <w:jc w:val="both"/>
        <w:rPr>
          <w:sz w:val="24"/>
          <w:szCs w:val="24"/>
        </w:rPr>
      </w:pPr>
      <w:r w:rsidRPr="00B815BF">
        <w:rPr>
          <w:sz w:val="24"/>
          <w:szCs w:val="24"/>
        </w:rPr>
        <w:t xml:space="preserve">Bulk transcriptomic studies have contributed substantially to the characterization of ectopic lesions, but they have often produced discordant gene lists. This discordance may reflect true biological variation between lesions, but it may also arise from differences in tissue source, menstrual phase, treatment history, platform, normalization, and statistical modelling. A single differential-expression analysis is therefore insufficient to determine whether ectopic endometriosis possesses a reproducible transcriptional identity. Meta-analysis offers a more informative approach because it can distinguish recurrent signals from cohort-specific effects, </w:t>
      </w:r>
      <w:proofErr w:type="gramStart"/>
      <w:r w:rsidRPr="00B815BF">
        <w:rPr>
          <w:sz w:val="24"/>
          <w:szCs w:val="24"/>
        </w:rPr>
        <w:t>provided that</w:t>
      </w:r>
      <w:proofErr w:type="gramEnd"/>
      <w:r w:rsidRPr="00B815BF">
        <w:rPr>
          <w:sz w:val="24"/>
          <w:szCs w:val="24"/>
        </w:rPr>
        <w:t xml:space="preserve"> heterogeneity is reported transparently rather than treated solely as a technical problem (</w:t>
      </w:r>
      <w:proofErr w:type="spellStart"/>
      <w:r w:rsidRPr="00B815BF">
        <w:rPr>
          <w:sz w:val="24"/>
          <w:szCs w:val="24"/>
        </w:rPr>
        <w:t>DerSimonian</w:t>
      </w:r>
      <w:proofErr w:type="spellEnd"/>
      <w:r w:rsidRPr="00B815BF">
        <w:rPr>
          <w:sz w:val="24"/>
          <w:szCs w:val="24"/>
        </w:rPr>
        <w:t xml:space="preserve"> and Laird, 1986; Higgins et al., 2003).</w:t>
      </w:r>
    </w:p>
    <w:p w14:paraId="0DCB80F5" w14:textId="3F834169" w:rsidR="00B815BF" w:rsidRPr="00B815BF" w:rsidRDefault="00B815BF" w:rsidP="00FC1459">
      <w:pPr>
        <w:spacing w:before="100" w:beforeAutospacing="1" w:after="100" w:afterAutospacing="1"/>
        <w:jc w:val="both"/>
        <w:rPr>
          <w:sz w:val="24"/>
          <w:szCs w:val="24"/>
        </w:rPr>
      </w:pPr>
      <w:r w:rsidRPr="00B815BF">
        <w:rPr>
          <w:sz w:val="24"/>
          <w:szCs w:val="24"/>
        </w:rPr>
        <w:t>Cancer immunology provides a useful</w:t>
      </w:r>
      <w:r>
        <w:rPr>
          <w:rFonts w:hint="cs"/>
          <w:sz w:val="24"/>
          <w:szCs w:val="24"/>
          <w:rtl/>
        </w:rPr>
        <w:t xml:space="preserve"> </w:t>
      </w:r>
      <w:r w:rsidRPr="00B815BF">
        <w:rPr>
          <w:sz w:val="24"/>
          <w:szCs w:val="24"/>
        </w:rPr>
        <w:t>but not directly transferable</w:t>
      </w:r>
      <w:r>
        <w:rPr>
          <w:rFonts w:hint="cs"/>
          <w:sz w:val="24"/>
          <w:szCs w:val="24"/>
          <w:rtl/>
        </w:rPr>
        <w:t xml:space="preserve"> </w:t>
      </w:r>
      <w:r w:rsidRPr="00B815BF">
        <w:rPr>
          <w:sz w:val="24"/>
          <w:szCs w:val="24"/>
        </w:rPr>
        <w:t xml:space="preserve">conceptual comparison. The cancer-immunoediting framework describes three phases: elimination, equilibrium, and escape. In the equilibrium phase, immune pressure restrains the expansion of residual transformed cells, which may persist in a functionally dormant state with reduced </w:t>
      </w:r>
      <w:r w:rsidRPr="00B815BF">
        <w:rPr>
          <w:sz w:val="24"/>
          <w:szCs w:val="24"/>
        </w:rPr>
        <w:lastRenderedPageBreak/>
        <w:t xml:space="preserve">immunogenicity before eventual immune escape (Dunn et al., 2004; Mittal et al., 2024). This framework was developed to explain interactions between malignant cells and the immune system. It should not be assumed that endometriosis undergoes the same clonal selection process as cancer. Nevertheless, the framework raises a relevant question: can a benign ectopic tissue persist by adopting a molecular state that combines limited adaptive-effector activation, reduced proliferative activity, and a stable survival-associated transcriptional </w:t>
      </w:r>
      <w:proofErr w:type="spellStart"/>
      <w:r w:rsidRPr="00B815BF">
        <w:rPr>
          <w:sz w:val="24"/>
          <w:szCs w:val="24"/>
        </w:rPr>
        <w:t>programme</w:t>
      </w:r>
      <w:proofErr w:type="spellEnd"/>
      <w:r w:rsidRPr="00B815BF">
        <w:rPr>
          <w:sz w:val="24"/>
          <w:szCs w:val="24"/>
        </w:rPr>
        <w:t>?</w:t>
      </w:r>
    </w:p>
    <w:p w14:paraId="531EF305" w14:textId="77777777" w:rsidR="00B815BF" w:rsidRPr="00B815BF" w:rsidRDefault="00B815BF" w:rsidP="00FC1459">
      <w:pPr>
        <w:spacing w:before="100" w:beforeAutospacing="1" w:after="100" w:afterAutospacing="1"/>
        <w:jc w:val="both"/>
        <w:rPr>
          <w:sz w:val="24"/>
          <w:szCs w:val="24"/>
        </w:rPr>
      </w:pPr>
      <w:r w:rsidRPr="00B815BF">
        <w:rPr>
          <w:sz w:val="24"/>
          <w:szCs w:val="24"/>
        </w:rPr>
        <w:t xml:space="preserve">We use the term </w:t>
      </w:r>
      <w:r w:rsidRPr="00B815BF">
        <w:rPr>
          <w:b/>
          <w:bCs/>
          <w:sz w:val="24"/>
          <w:szCs w:val="24"/>
        </w:rPr>
        <w:t>benign immunoediting</w:t>
      </w:r>
      <w:r w:rsidRPr="00B815BF">
        <w:rPr>
          <w:sz w:val="24"/>
          <w:szCs w:val="24"/>
        </w:rPr>
        <w:t xml:space="preserve"> as a hypothesis-generating conceptual framework, not as evidence that endometriotic lesions undergo </w:t>
      </w:r>
      <w:proofErr w:type="spellStart"/>
      <w:r w:rsidRPr="00B815BF">
        <w:rPr>
          <w:sz w:val="24"/>
          <w:szCs w:val="24"/>
        </w:rPr>
        <w:t>tumour</w:t>
      </w:r>
      <w:proofErr w:type="spellEnd"/>
      <w:r w:rsidRPr="00B815BF">
        <w:rPr>
          <w:sz w:val="24"/>
          <w:szCs w:val="24"/>
        </w:rPr>
        <w:t xml:space="preserve">-like immunoediting. Under this framework, ectopic tissue persistence may be associated with a low-turnover transcriptional state in which stress-response and innate inflammatory </w:t>
      </w:r>
      <w:proofErr w:type="spellStart"/>
      <w:r w:rsidRPr="00B815BF">
        <w:rPr>
          <w:sz w:val="24"/>
          <w:szCs w:val="24"/>
        </w:rPr>
        <w:t>programmes</w:t>
      </w:r>
      <w:proofErr w:type="spellEnd"/>
      <w:r w:rsidRPr="00B815BF">
        <w:rPr>
          <w:sz w:val="24"/>
          <w:szCs w:val="24"/>
        </w:rPr>
        <w:t xml:space="preserve"> remain active, while predefined adaptive cytotoxic and antigen-presentation </w:t>
      </w:r>
      <w:proofErr w:type="spellStart"/>
      <w:r w:rsidRPr="00B815BF">
        <w:rPr>
          <w:sz w:val="24"/>
          <w:szCs w:val="24"/>
        </w:rPr>
        <w:t>programmes</w:t>
      </w:r>
      <w:proofErr w:type="spellEnd"/>
      <w:r w:rsidRPr="00B815BF">
        <w:rPr>
          <w:sz w:val="24"/>
          <w:szCs w:val="24"/>
        </w:rPr>
        <w:t xml:space="preserve"> do not show consistent activation. This interpretation is compatible with the recognition that endometriotic lesions contain distinct epithelial, stromal, endothelial, perivascular, and immune populations, and that lesion </w:t>
      </w:r>
      <w:proofErr w:type="spellStart"/>
      <w:r w:rsidRPr="00B815BF">
        <w:rPr>
          <w:sz w:val="24"/>
          <w:szCs w:val="24"/>
        </w:rPr>
        <w:t>behaviour</w:t>
      </w:r>
      <w:proofErr w:type="spellEnd"/>
      <w:r w:rsidRPr="00B815BF">
        <w:rPr>
          <w:sz w:val="24"/>
          <w:szCs w:val="24"/>
        </w:rPr>
        <w:t xml:space="preserve"> cannot be reduced to a single cell type or pathway (Fonseca et al., 2023; Liu et al., 2025).</w:t>
      </w:r>
    </w:p>
    <w:p w14:paraId="6A1A05D0" w14:textId="28B2C476" w:rsidR="00B815BF" w:rsidRPr="00D86F26" w:rsidRDefault="00B815BF" w:rsidP="00FC1459">
      <w:pPr>
        <w:spacing w:before="100" w:beforeAutospacing="1" w:after="100" w:afterAutospacing="1"/>
        <w:jc w:val="both"/>
        <w:rPr>
          <w:sz w:val="24"/>
          <w:szCs w:val="24"/>
          <w:rtl/>
        </w:rPr>
      </w:pPr>
      <w:r w:rsidRPr="00B815BF">
        <w:rPr>
          <w:sz w:val="24"/>
          <w:szCs w:val="24"/>
        </w:rPr>
        <w:t xml:space="preserve">To test this possibility, we integrated six independent bulk transcriptomic cohorts comparing ectopic endometriotic tissue with </w:t>
      </w:r>
      <w:proofErr w:type="spellStart"/>
      <w:r w:rsidRPr="00B815BF">
        <w:rPr>
          <w:sz w:val="24"/>
          <w:szCs w:val="24"/>
        </w:rPr>
        <w:t>eutopic</w:t>
      </w:r>
      <w:proofErr w:type="spellEnd"/>
      <w:r w:rsidRPr="00B815BF">
        <w:rPr>
          <w:sz w:val="24"/>
          <w:szCs w:val="24"/>
        </w:rPr>
        <w:t xml:space="preserve"> endometrium. We used a prespecified random-effects meta-analysis with locked claim thresholds, retained heterogeneity as part of the result, and defined a robust gene core through systematic leave-one-cohort-out analyses. We then examined the cellular localization of candidate signals using single-cell </w:t>
      </w:r>
      <w:proofErr w:type="spellStart"/>
      <w:r w:rsidRPr="00B815BF">
        <w:rPr>
          <w:sz w:val="24"/>
          <w:szCs w:val="24"/>
        </w:rPr>
        <w:t>pseudobulk</w:t>
      </w:r>
      <w:proofErr w:type="spellEnd"/>
      <w:r w:rsidRPr="00B815BF">
        <w:rPr>
          <w:sz w:val="24"/>
          <w:szCs w:val="24"/>
        </w:rPr>
        <w:t xml:space="preserve"> analyses, tested the broader </w:t>
      </w:r>
      <w:proofErr w:type="spellStart"/>
      <w:r w:rsidRPr="00B815BF">
        <w:rPr>
          <w:sz w:val="24"/>
          <w:szCs w:val="24"/>
        </w:rPr>
        <w:t>programme</w:t>
      </w:r>
      <w:proofErr w:type="spellEnd"/>
      <w:r w:rsidRPr="00B815BF">
        <w:rPr>
          <w:sz w:val="24"/>
          <w:szCs w:val="24"/>
        </w:rPr>
        <w:t xml:space="preserve"> in an independent single-cell atlas (Fonseca et al., 2023), and evaluated whether available perturbational resources provided evidence of pharmacological reversal. This design was intended to separate three levels of evidence: recurrent cohort-level signals, robust signals that survive cohort removal, and externally detectable signals that can be localized to relevant tissue compartments.</w:t>
      </w:r>
    </w:p>
    <w:p w14:paraId="7D98417A" w14:textId="0D04666E" w:rsidR="00D86F26" w:rsidRPr="00D86F26" w:rsidRDefault="00D86F26" w:rsidP="00FC1459">
      <w:pPr>
        <w:spacing w:before="100" w:beforeAutospacing="1" w:after="100" w:afterAutospacing="1"/>
        <w:jc w:val="both"/>
        <w:outlineLvl w:val="0"/>
        <w:rPr>
          <w:b/>
          <w:bCs/>
          <w:kern w:val="36"/>
          <w:sz w:val="24"/>
          <w:szCs w:val="24"/>
        </w:rPr>
      </w:pPr>
      <w:r w:rsidRPr="00D86F26">
        <w:rPr>
          <w:rFonts w:hint="cs"/>
          <w:b/>
          <w:bCs/>
          <w:kern w:val="36"/>
          <w:sz w:val="24"/>
          <w:szCs w:val="24"/>
          <w:rtl/>
        </w:rPr>
        <w:t>2</w:t>
      </w:r>
      <w:r w:rsidRPr="00D86F26">
        <w:rPr>
          <w:b/>
          <w:bCs/>
          <w:kern w:val="36"/>
          <w:sz w:val="24"/>
          <w:szCs w:val="24"/>
        </w:rPr>
        <w:t>. Methods</w:t>
      </w:r>
    </w:p>
    <w:p w14:paraId="5514D4E3" w14:textId="5A5FCFC6" w:rsidR="00D86F26" w:rsidRPr="00D86F26" w:rsidRDefault="00D86F26" w:rsidP="00FC1459">
      <w:pPr>
        <w:spacing w:before="100" w:beforeAutospacing="1" w:after="100" w:afterAutospacing="1"/>
        <w:jc w:val="both"/>
        <w:outlineLvl w:val="1"/>
        <w:rPr>
          <w:b/>
          <w:bCs/>
          <w:sz w:val="24"/>
          <w:szCs w:val="24"/>
        </w:rPr>
      </w:pPr>
      <w:r w:rsidRPr="00D86F26">
        <w:rPr>
          <w:rFonts w:hint="cs"/>
          <w:b/>
          <w:bCs/>
          <w:sz w:val="24"/>
          <w:szCs w:val="24"/>
          <w:rtl/>
        </w:rPr>
        <w:t>2</w:t>
      </w:r>
      <w:r w:rsidRPr="00D86F26">
        <w:rPr>
          <w:b/>
          <w:bCs/>
          <w:sz w:val="24"/>
          <w:szCs w:val="24"/>
        </w:rPr>
        <w:t xml:space="preserve">.1 Study design, </w:t>
      </w:r>
      <w:proofErr w:type="spellStart"/>
      <w:r w:rsidRPr="00D86F26">
        <w:rPr>
          <w:b/>
          <w:bCs/>
          <w:sz w:val="24"/>
          <w:szCs w:val="24"/>
        </w:rPr>
        <w:t>prespecification</w:t>
      </w:r>
      <w:proofErr w:type="spellEnd"/>
      <w:r w:rsidRPr="00D86F26">
        <w:rPr>
          <w:b/>
          <w:bCs/>
          <w:sz w:val="24"/>
          <w:szCs w:val="24"/>
        </w:rPr>
        <w:t>, and audit trail</w:t>
      </w:r>
    </w:p>
    <w:p w14:paraId="1B37F424" w14:textId="77777777" w:rsidR="00D86F26" w:rsidRPr="00D86F26" w:rsidRDefault="00D86F26" w:rsidP="00FC1459">
      <w:pPr>
        <w:spacing w:before="100" w:beforeAutospacing="1" w:after="100" w:afterAutospacing="1"/>
        <w:jc w:val="both"/>
        <w:rPr>
          <w:sz w:val="24"/>
          <w:szCs w:val="24"/>
        </w:rPr>
      </w:pPr>
      <w:r w:rsidRPr="00D86F26">
        <w:rPr>
          <w:sz w:val="24"/>
          <w:szCs w:val="24"/>
        </w:rPr>
        <w:t>This study was designed as a reproducible computational analysis of publicly available human endometriosis transcriptomic data. Analyses were conducted according to a time-stamped, version-controlled analysis charter finalized before data analysis began on 11 September 2026. Operational changes made during execution were documented as dated, numbered amendments and retained with the project audit record. Analyses were completed on 25 September 2026. No result was simulated; every value reported in this study was computed from real, publicly accessible datasets and was traceable to a saved input file, a versioned script, and a locked output table.</w:t>
      </w:r>
    </w:p>
    <w:p w14:paraId="4C9DBD3A" w14:textId="77777777" w:rsidR="00D86F26" w:rsidRPr="00D86F26" w:rsidRDefault="00D86F26" w:rsidP="00FC1459">
      <w:pPr>
        <w:spacing w:before="100" w:beforeAutospacing="1" w:after="100" w:afterAutospacing="1"/>
        <w:jc w:val="both"/>
        <w:rPr>
          <w:sz w:val="24"/>
          <w:szCs w:val="24"/>
        </w:rPr>
      </w:pPr>
      <w:r w:rsidRPr="00D86F26">
        <w:rPr>
          <w:sz w:val="24"/>
          <w:szCs w:val="24"/>
        </w:rPr>
        <w:t>The workflow comprised distinct stages: acquisition and verification of public datasets; bulk transcriptomic preprocessing and differential-expression analysis; random-effects gene-level and pathway-level meta-analysis; sensitivity analyses and robust-core definition; single-cell quality control, integration, and cellular localization; independent external validation in a separate single-cell atlas; and exploratory perturbational and decidualization-response analyses.</w:t>
      </w:r>
    </w:p>
    <w:p w14:paraId="5A714418" w14:textId="77777777" w:rsidR="00D86F26" w:rsidRPr="00D86F26" w:rsidRDefault="00D86F26" w:rsidP="00FC1459">
      <w:pPr>
        <w:spacing w:before="100" w:beforeAutospacing="1" w:after="100" w:afterAutospacing="1"/>
        <w:jc w:val="both"/>
        <w:rPr>
          <w:sz w:val="24"/>
          <w:szCs w:val="24"/>
        </w:rPr>
      </w:pPr>
      <w:r w:rsidRPr="00D86F26">
        <w:rPr>
          <w:sz w:val="24"/>
          <w:szCs w:val="24"/>
        </w:rPr>
        <w:t>The sole statistical claim threshold throughout the discovery and validation stages was a Benjamini–Hochberg false-discovery rate (BH-FDR) below 0.05. An absolute log2 fold-</w:t>
      </w:r>
      <w:r w:rsidRPr="00D86F26">
        <w:rPr>
          <w:sz w:val="24"/>
          <w:szCs w:val="24"/>
        </w:rPr>
        <w:lastRenderedPageBreak/>
        <w:t>change threshold of 0.5 was used only for interpretive tiering; it was never used to exclude genes or pathways from statistical testing. Effect sizes and exact p-values were reported for principal results. Null and negative findings were retained and interpreted using the same standards as positive findings. Between-cohort heterogeneity was reported and interpreted as evidence of between-cohort variation in effect magnitude or direction, not as a reason to exclude genes, cohorts, or pathways.</w:t>
      </w:r>
    </w:p>
    <w:p w14:paraId="464E2762" w14:textId="77777777" w:rsidR="00D86F26" w:rsidRPr="00D86F26" w:rsidRDefault="00D86F26" w:rsidP="00FC1459">
      <w:pPr>
        <w:spacing w:before="100" w:beforeAutospacing="1" w:after="100" w:afterAutospacing="1"/>
        <w:jc w:val="both"/>
        <w:rPr>
          <w:sz w:val="24"/>
          <w:szCs w:val="24"/>
        </w:rPr>
      </w:pPr>
      <w:r w:rsidRPr="00D86F26">
        <w:rPr>
          <w:sz w:val="24"/>
          <w:szCs w:val="24"/>
        </w:rPr>
        <w:t xml:space="preserve">A fixed random seed of 42 was used for stochastic procedures, including principal-component analysis, Harmony integration, UMAP embedding, clustering, and single-cell doublet identification. The computational environment was locked using </w:t>
      </w:r>
      <w:proofErr w:type="spellStart"/>
      <w:r w:rsidRPr="00D86F26">
        <w:rPr>
          <w:rFonts w:ascii="Courier New" w:hAnsi="Courier New" w:cs="Courier New"/>
          <w:sz w:val="24"/>
          <w:szCs w:val="24"/>
        </w:rPr>
        <w:t>renv</w:t>
      </w:r>
      <w:proofErr w:type="spellEnd"/>
      <w:r w:rsidRPr="00D86F26">
        <w:rPr>
          <w:sz w:val="24"/>
          <w:szCs w:val="24"/>
        </w:rPr>
        <w:t>. Package versions, script versions, input checksums, output checksums, locked contrast definitions, and result-file registries were retained in the project audit record.</w:t>
      </w:r>
    </w:p>
    <w:p w14:paraId="3F49AC33" w14:textId="703E9CEC" w:rsidR="00D86F26" w:rsidRPr="00D86F26" w:rsidRDefault="00D86F26" w:rsidP="00FC1459">
      <w:pPr>
        <w:spacing w:before="100" w:beforeAutospacing="1" w:after="100" w:afterAutospacing="1"/>
        <w:jc w:val="both"/>
        <w:outlineLvl w:val="1"/>
        <w:rPr>
          <w:b/>
          <w:bCs/>
          <w:sz w:val="24"/>
          <w:szCs w:val="24"/>
        </w:rPr>
      </w:pPr>
      <w:r>
        <w:rPr>
          <w:rFonts w:hint="cs"/>
          <w:b/>
          <w:bCs/>
          <w:sz w:val="24"/>
          <w:szCs w:val="24"/>
          <w:rtl/>
        </w:rPr>
        <w:t>2</w:t>
      </w:r>
      <w:r w:rsidRPr="00D86F26">
        <w:rPr>
          <w:b/>
          <w:bCs/>
          <w:sz w:val="24"/>
          <w:szCs w:val="24"/>
        </w:rPr>
        <w:t>.2 Public datasets</w:t>
      </w:r>
    </w:p>
    <w:p w14:paraId="63F8269F" w14:textId="6555AB6B" w:rsidR="00D86F26" w:rsidRPr="00D86F26" w:rsidRDefault="00D86F26" w:rsidP="00FC1459">
      <w:pPr>
        <w:spacing w:before="100" w:beforeAutospacing="1" w:after="100" w:afterAutospacing="1"/>
        <w:jc w:val="both"/>
        <w:rPr>
          <w:sz w:val="24"/>
          <w:szCs w:val="24"/>
        </w:rPr>
      </w:pPr>
      <w:r w:rsidRPr="00D86F26">
        <w:rPr>
          <w:sz w:val="24"/>
          <w:szCs w:val="24"/>
        </w:rPr>
        <w:t>Twelve public datasets were used in distinct, non-overlapping analytical roles.</w:t>
      </w:r>
      <w:r>
        <w:rPr>
          <w:rFonts w:hint="cs"/>
          <w:sz w:val="24"/>
          <w:szCs w:val="24"/>
          <w:rtl/>
        </w:rPr>
        <w:t xml:space="preserve"> </w:t>
      </w:r>
      <w:r w:rsidRPr="00D86F26">
        <w:rPr>
          <w:sz w:val="24"/>
          <w:szCs w:val="24"/>
        </w:rPr>
        <w:t xml:space="preserve">The primary bulk meta-analysis included six cohorts comparing ectopic endometriotic tissue with </w:t>
      </w:r>
      <w:proofErr w:type="spellStart"/>
      <w:r w:rsidRPr="00D86F26">
        <w:rPr>
          <w:sz w:val="24"/>
          <w:szCs w:val="24"/>
        </w:rPr>
        <w:t>eutopic</w:t>
      </w:r>
      <w:proofErr w:type="spellEnd"/>
      <w:r w:rsidRPr="00D86F26">
        <w:rPr>
          <w:sz w:val="24"/>
          <w:szCs w:val="24"/>
        </w:rPr>
        <w:t xml:space="preserve"> endometrium: GSE7305, GSE6364, GSE25628, GSE7307, GSE51981, and GSE120103. GSE7305 contains ovarian endometriosis and normal endometrial samples (Hever et al., 2007). GSE6364 contains </w:t>
      </w:r>
      <w:proofErr w:type="spellStart"/>
      <w:r w:rsidRPr="00D86F26">
        <w:rPr>
          <w:sz w:val="24"/>
          <w:szCs w:val="24"/>
        </w:rPr>
        <w:t>eutopic</w:t>
      </w:r>
      <w:proofErr w:type="spellEnd"/>
      <w:r w:rsidRPr="00D86F26">
        <w:rPr>
          <w:sz w:val="24"/>
          <w:szCs w:val="24"/>
        </w:rPr>
        <w:t xml:space="preserve"> endometrium from women with and without endometriosis (Burney et al., 2007). GSE25628 contains endometriosis and control endometrial samples (Crispi et al., 2013). GSE7307 contains ovarian endometrioma and matched endometrial samples and was included as a body-mass-index-defined subset (Roth et al., 2010). GSE51981 contains 148 archived endometrial samples from women with endometriosis or without endometriosis (</w:t>
      </w:r>
      <w:proofErr w:type="spellStart"/>
      <w:r w:rsidRPr="00D86F26">
        <w:rPr>
          <w:sz w:val="24"/>
          <w:szCs w:val="24"/>
        </w:rPr>
        <w:t>Tamaresis</w:t>
      </w:r>
      <w:proofErr w:type="spellEnd"/>
      <w:r w:rsidRPr="00D86F26">
        <w:rPr>
          <w:sz w:val="24"/>
          <w:szCs w:val="24"/>
        </w:rPr>
        <w:t xml:space="preserve"> et al., 2014). GSE120103 contains endometrial samples from fertile and infertile women with stage IV ovarian endometriosis and from women without endometriosis (Bhat et al., 2019).</w:t>
      </w:r>
    </w:p>
    <w:p w14:paraId="41EE9381" w14:textId="77777777" w:rsidR="00D86F26" w:rsidRPr="00D86F26" w:rsidRDefault="00D86F26" w:rsidP="00FC1459">
      <w:pPr>
        <w:spacing w:before="100" w:beforeAutospacing="1" w:after="100" w:afterAutospacing="1"/>
        <w:jc w:val="both"/>
        <w:rPr>
          <w:sz w:val="24"/>
          <w:szCs w:val="24"/>
        </w:rPr>
      </w:pPr>
      <w:r w:rsidRPr="00D86F26">
        <w:rPr>
          <w:sz w:val="24"/>
          <w:szCs w:val="24"/>
        </w:rPr>
        <w:t xml:space="preserve">The paired cohort GSE11691, containing matched </w:t>
      </w:r>
      <w:proofErr w:type="spellStart"/>
      <w:r w:rsidRPr="00D86F26">
        <w:rPr>
          <w:sz w:val="24"/>
          <w:szCs w:val="24"/>
        </w:rPr>
        <w:t>eutopic</w:t>
      </w:r>
      <w:proofErr w:type="spellEnd"/>
      <w:r w:rsidRPr="00D86F26">
        <w:rPr>
          <w:sz w:val="24"/>
          <w:szCs w:val="24"/>
        </w:rPr>
        <w:t xml:space="preserve"> and ectopic samples from the same individuals, was reserved exclusively for directional concordance analysis and was not pooled with the primary cohorts. Three single-cell RNA-sequencing datasets—GSE179640, GSE183837, and GSE214411—were used for discovery-stage cellular localization (Tan et al., 2022; Marečková et al., 2021). The independent single-cell atlas GSE213216, comprising 373,851 cells from 21 patients across five tissue classes, was reserved for external validation and was not used in discovery or localization analyses (Fonseca et al., 2023). GSE75423 and GSE75425 were used only for exploratory decidualization-response analyses (Aoyagi et al., 2016).</w:t>
      </w:r>
    </w:p>
    <w:p w14:paraId="789D8B5C" w14:textId="77777777" w:rsidR="00D86F26" w:rsidRPr="00D86F26" w:rsidRDefault="00D86F26" w:rsidP="00FC1459">
      <w:pPr>
        <w:spacing w:before="100" w:beforeAutospacing="1" w:after="100" w:afterAutospacing="1"/>
        <w:jc w:val="both"/>
        <w:rPr>
          <w:sz w:val="24"/>
          <w:szCs w:val="24"/>
        </w:rPr>
      </w:pPr>
      <w:r w:rsidRPr="00D86F26">
        <w:rPr>
          <w:sz w:val="24"/>
          <w:szCs w:val="24"/>
        </w:rPr>
        <w:t>All public accessions were verified against their primary repository records on 11 September 2026 before downstream analysis. For each dataset, the accession, source URL, download date, file inventory, sample count, and MD5 checksum were recorded in the dataset manifest. Raw archives were retained unchanged, and all transformations were implemented using versioned scripts.</w:t>
      </w:r>
    </w:p>
    <w:p w14:paraId="4EF83DE9" w14:textId="2682E8F3" w:rsidR="00D86F26" w:rsidRPr="00D86F26" w:rsidRDefault="00D86F26" w:rsidP="00FC1459">
      <w:pPr>
        <w:spacing w:before="100" w:beforeAutospacing="1" w:after="100" w:afterAutospacing="1"/>
        <w:jc w:val="both"/>
        <w:outlineLvl w:val="1"/>
        <w:rPr>
          <w:b/>
          <w:bCs/>
          <w:sz w:val="24"/>
          <w:szCs w:val="24"/>
        </w:rPr>
      </w:pPr>
      <w:r>
        <w:rPr>
          <w:rFonts w:hint="cs"/>
          <w:b/>
          <w:bCs/>
          <w:sz w:val="24"/>
          <w:szCs w:val="24"/>
          <w:rtl/>
        </w:rPr>
        <w:t>2</w:t>
      </w:r>
      <w:r w:rsidRPr="00D86F26">
        <w:rPr>
          <w:b/>
          <w:bCs/>
          <w:sz w:val="24"/>
          <w:szCs w:val="24"/>
        </w:rPr>
        <w:t>.3 Bulk transcriptomic preprocessing</w:t>
      </w:r>
    </w:p>
    <w:p w14:paraId="246BE64B" w14:textId="77777777" w:rsidR="00D86F26" w:rsidRPr="00D86F26" w:rsidRDefault="00D86F26" w:rsidP="00FC1459">
      <w:pPr>
        <w:spacing w:before="100" w:beforeAutospacing="1" w:after="100" w:afterAutospacing="1"/>
        <w:jc w:val="both"/>
        <w:rPr>
          <w:sz w:val="24"/>
          <w:szCs w:val="24"/>
        </w:rPr>
      </w:pPr>
      <w:r w:rsidRPr="00D86F26">
        <w:rPr>
          <w:sz w:val="24"/>
          <w:szCs w:val="24"/>
        </w:rPr>
        <w:t>Bulk microarray datasets were processed independently to avoid inappropriate cross-platform correction. Affymetrix datasets were normalized using robust multi-array average processing. The Agilent one-</w:t>
      </w:r>
      <w:proofErr w:type="spellStart"/>
      <w:r w:rsidRPr="00D86F26">
        <w:rPr>
          <w:sz w:val="24"/>
          <w:szCs w:val="24"/>
        </w:rPr>
        <w:t>colour</w:t>
      </w:r>
      <w:proofErr w:type="spellEnd"/>
      <w:r w:rsidRPr="00D86F26">
        <w:rPr>
          <w:sz w:val="24"/>
          <w:szCs w:val="24"/>
        </w:rPr>
        <w:t xml:space="preserve"> dataset GSE120103 was processed separately using a platform-specific workflow, including targeted quality-control diagnostics.</w:t>
      </w:r>
    </w:p>
    <w:p w14:paraId="5A6E8C22" w14:textId="77777777" w:rsidR="00D86F26" w:rsidRPr="00D86F26" w:rsidRDefault="00D86F26" w:rsidP="00FC1459">
      <w:pPr>
        <w:spacing w:before="100" w:beforeAutospacing="1" w:after="100" w:afterAutospacing="1"/>
        <w:jc w:val="both"/>
        <w:rPr>
          <w:sz w:val="24"/>
          <w:szCs w:val="24"/>
        </w:rPr>
      </w:pPr>
      <w:r w:rsidRPr="00D86F26">
        <w:rPr>
          <w:sz w:val="24"/>
          <w:szCs w:val="24"/>
        </w:rPr>
        <w:lastRenderedPageBreak/>
        <w:t xml:space="preserve">Probe identifiers were mapped to current gene symbols using cohort-specific annotation resources. When multiple probes </w:t>
      </w:r>
      <w:proofErr w:type="gramStart"/>
      <w:r w:rsidRPr="00D86F26">
        <w:rPr>
          <w:sz w:val="24"/>
          <w:szCs w:val="24"/>
        </w:rPr>
        <w:t>mapped</w:t>
      </w:r>
      <w:proofErr w:type="gramEnd"/>
      <w:r w:rsidRPr="00D86F26">
        <w:rPr>
          <w:sz w:val="24"/>
          <w:szCs w:val="24"/>
        </w:rPr>
        <w:t xml:space="preserve"> to the same gene, the prespecified probe-collapsing rule was applied consistently within each cohort. Genes absent from a given platform were retained in the original cohort-level analysis but were excluded from cross-cohort analyses in which the gene was unavailable.</w:t>
      </w:r>
    </w:p>
    <w:p w14:paraId="5E02D9BA" w14:textId="77777777" w:rsidR="00D86F26" w:rsidRPr="00D86F26" w:rsidRDefault="00D86F26" w:rsidP="00FC1459">
      <w:pPr>
        <w:spacing w:before="100" w:beforeAutospacing="1" w:after="100" w:afterAutospacing="1"/>
        <w:jc w:val="both"/>
        <w:rPr>
          <w:sz w:val="24"/>
          <w:szCs w:val="24"/>
        </w:rPr>
      </w:pPr>
      <w:r w:rsidRPr="00D86F26">
        <w:rPr>
          <w:sz w:val="24"/>
          <w:szCs w:val="24"/>
        </w:rPr>
        <w:t>Differential-expression contrasts for every bulk cohort were specified in a locked contrast-definition file before effect-size extraction and meta-analysis. Cohort-specific quality control included inspection of sample distributions, principal-component analysis, and platform-specific quality metrics. Any sample exclusion or platform-specific correction was documented in the analysis record. No raw or processed result file was edited manually; all transformations and filtering decisions were implemented in versioned scripts.</w:t>
      </w:r>
    </w:p>
    <w:p w14:paraId="2E67AB8F" w14:textId="43A9A8E5" w:rsidR="00D86F26" w:rsidRPr="00D86F26" w:rsidRDefault="00D86F26" w:rsidP="00FC1459">
      <w:pPr>
        <w:spacing w:before="100" w:beforeAutospacing="1" w:after="100" w:afterAutospacing="1"/>
        <w:jc w:val="both"/>
        <w:outlineLvl w:val="1"/>
        <w:rPr>
          <w:b/>
          <w:bCs/>
          <w:sz w:val="24"/>
          <w:szCs w:val="24"/>
        </w:rPr>
      </w:pPr>
      <w:r>
        <w:rPr>
          <w:rFonts w:hint="cs"/>
          <w:b/>
          <w:bCs/>
          <w:sz w:val="24"/>
          <w:szCs w:val="24"/>
          <w:rtl/>
        </w:rPr>
        <w:t>2</w:t>
      </w:r>
      <w:r w:rsidRPr="00D86F26">
        <w:rPr>
          <w:b/>
          <w:bCs/>
          <w:sz w:val="24"/>
          <w:szCs w:val="24"/>
        </w:rPr>
        <w:t>.4 Cohort-specific differential-expression models</w:t>
      </w:r>
    </w:p>
    <w:p w14:paraId="5A2D5182" w14:textId="77777777" w:rsidR="00D86F26" w:rsidRPr="00D86F26" w:rsidRDefault="00D86F26" w:rsidP="00FC1459">
      <w:pPr>
        <w:spacing w:before="100" w:beforeAutospacing="1" w:after="100" w:afterAutospacing="1"/>
        <w:jc w:val="both"/>
        <w:rPr>
          <w:sz w:val="24"/>
          <w:szCs w:val="24"/>
        </w:rPr>
      </w:pPr>
      <w:r w:rsidRPr="00D86F26">
        <w:rPr>
          <w:sz w:val="24"/>
          <w:szCs w:val="24"/>
        </w:rPr>
        <w:t xml:space="preserve">Differential </w:t>
      </w:r>
      <w:proofErr w:type="gramStart"/>
      <w:r w:rsidRPr="00D86F26">
        <w:rPr>
          <w:sz w:val="24"/>
          <w:szCs w:val="24"/>
        </w:rPr>
        <w:t>expression was</w:t>
      </w:r>
      <w:proofErr w:type="gramEnd"/>
      <w:r w:rsidRPr="00D86F26">
        <w:rPr>
          <w:sz w:val="24"/>
          <w:szCs w:val="24"/>
        </w:rPr>
        <w:t xml:space="preserve"> assessed independently within each bulk cohort using the prespecified ectopic-versus-</w:t>
      </w:r>
      <w:proofErr w:type="spellStart"/>
      <w:r w:rsidRPr="00D86F26">
        <w:rPr>
          <w:sz w:val="24"/>
          <w:szCs w:val="24"/>
        </w:rPr>
        <w:t>eutopic</w:t>
      </w:r>
      <w:proofErr w:type="spellEnd"/>
      <w:r w:rsidRPr="00D86F26">
        <w:rPr>
          <w:sz w:val="24"/>
          <w:szCs w:val="24"/>
        </w:rPr>
        <w:t xml:space="preserve"> contrast. Cohort-specific models, normalization procedures, and contrast definitions are provided in Supplementary Table S1. The primary effect metric in every cohort was the log2 fold change, defined consistently as ectopic minus </w:t>
      </w:r>
      <w:proofErr w:type="spellStart"/>
      <w:r w:rsidRPr="00D86F26">
        <w:rPr>
          <w:sz w:val="24"/>
          <w:szCs w:val="24"/>
        </w:rPr>
        <w:t>eutopic</w:t>
      </w:r>
      <w:proofErr w:type="spellEnd"/>
      <w:r w:rsidRPr="00D86F26">
        <w:rPr>
          <w:sz w:val="24"/>
          <w:szCs w:val="24"/>
        </w:rPr>
        <w:t xml:space="preserve"> expression.</w:t>
      </w:r>
    </w:p>
    <w:p w14:paraId="179CC9C9" w14:textId="77777777" w:rsidR="00D86F26" w:rsidRPr="00D86F26" w:rsidRDefault="00D86F26" w:rsidP="00FC1459">
      <w:pPr>
        <w:spacing w:before="100" w:beforeAutospacing="1" w:after="100" w:afterAutospacing="1"/>
        <w:jc w:val="both"/>
        <w:rPr>
          <w:sz w:val="24"/>
          <w:szCs w:val="24"/>
        </w:rPr>
      </w:pPr>
      <w:r w:rsidRPr="00D86F26">
        <w:rPr>
          <w:sz w:val="24"/>
          <w:szCs w:val="24"/>
        </w:rPr>
        <w:t xml:space="preserve">Cohort-specific standard errors were derived from locked differential-expression </w:t>
      </w:r>
      <w:proofErr w:type="gramStart"/>
      <w:r w:rsidRPr="00D86F26">
        <w:rPr>
          <w:sz w:val="24"/>
          <w:szCs w:val="24"/>
        </w:rPr>
        <w:t>outputs</w:t>
      </w:r>
      <w:proofErr w:type="gramEnd"/>
      <w:r w:rsidRPr="00D86F26">
        <w:rPr>
          <w:sz w:val="24"/>
          <w:szCs w:val="24"/>
        </w:rPr>
        <w:t xml:space="preserve"> as:</w:t>
      </w:r>
    </w:p>
    <w:p w14:paraId="74F5EA86" w14:textId="77777777" w:rsidR="00D86F26" w:rsidRPr="00D86F26" w:rsidRDefault="00D86F26" w:rsidP="00FC1459">
      <w:pPr>
        <w:jc w:val="both"/>
        <w:rPr>
          <w:sz w:val="24"/>
          <w:szCs w:val="24"/>
        </w:rPr>
      </w:pPr>
      <m:oMathPara>
        <m:oMath>
          <m:r>
            <w:rPr>
              <w:rFonts w:ascii="Cambria Math" w:hAnsi="Cambria Math"/>
              <w:sz w:val="24"/>
              <w:szCs w:val="24"/>
            </w:rPr>
            <m:t>S</m:t>
          </m:r>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i</m:t>
              </m:r>
            </m:sub>
          </m:sSub>
          <m:r>
            <w:rPr>
              <w:rFonts w:ascii="Cambria Math" w:hAnsi="Cambria Math"/>
              <w:sz w:val="24"/>
              <w:szCs w:val="24"/>
            </w:rPr>
            <m:t>=</m:t>
          </m:r>
          <m:d>
            <m:dPr>
              <m:begChr m:val="∣"/>
              <m:endChr m:val="∣"/>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w:rPr>
                      <w:rFonts w:ascii="Cambria Math" w:hAnsi="Cambria Math"/>
                      <w:sz w:val="24"/>
                      <w:szCs w:val="24"/>
                    </w:rPr>
                    <m:t>F</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m:t>
                      </m:r>
                    </m:sub>
                  </m:sSub>
                </m:num>
                <m:den>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den>
              </m:f>
            </m:e>
          </m:d>
          <m:r>
            <w:rPr>
              <w:rFonts w:ascii="Cambria Math" w:hAnsi="Cambria Math"/>
              <w:sz w:val="24"/>
              <w:szCs w:val="24"/>
            </w:rPr>
            <m:t>,</m:t>
          </m:r>
          <m:r>
            <w:rPr>
              <w:rFonts w:ascii="Cambria Math" w:hAnsi="Cambria Math"/>
              <w:sz w:val="24"/>
              <w:szCs w:val="24"/>
            </w:rPr>
            <w:br/>
          </m:r>
        </m:oMath>
      </m:oMathPara>
    </w:p>
    <w:p w14:paraId="193313F6" w14:textId="77777777" w:rsidR="00D86F26" w:rsidRPr="00D86F26" w:rsidRDefault="00D86F26" w:rsidP="00FC1459">
      <w:pPr>
        <w:spacing w:before="100" w:beforeAutospacing="1" w:after="100" w:afterAutospacing="1"/>
        <w:jc w:val="both"/>
        <w:rPr>
          <w:sz w:val="24"/>
          <w:szCs w:val="24"/>
        </w:rPr>
      </w:pPr>
      <w:r w:rsidRPr="00D86F26">
        <w:rPr>
          <w:sz w:val="24"/>
          <w:szCs w:val="24"/>
        </w:rPr>
        <w:t xml:space="preserve">where </w:t>
      </w:r>
      <m:oMath>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w:rPr>
            <w:rFonts w:ascii="Cambria Math" w:hAnsi="Cambria Math"/>
            <w:sz w:val="24"/>
            <w:szCs w:val="24"/>
          </w:rPr>
          <m:t>F</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i</m:t>
            </m:r>
          </m:sub>
        </m:sSub>
      </m:oMath>
      <w:r w:rsidRPr="00D86F26">
        <w:rPr>
          <w:sz w:val="24"/>
          <w:szCs w:val="24"/>
        </w:rPr>
        <w:t xml:space="preserve">is the cohort-specific ectopic-versus-eutopic log2 fold change for gene </w:t>
      </w:r>
      <m:oMath>
        <m:r>
          <w:rPr>
            <w:rFonts w:ascii="Cambria Math" w:hAnsi="Cambria Math"/>
            <w:sz w:val="24"/>
            <w:szCs w:val="24"/>
          </w:rPr>
          <m:t>i</m:t>
        </m:r>
      </m:oMath>
      <w:r w:rsidRPr="00D86F26">
        <w:rPr>
          <w:sz w:val="24"/>
          <w:szCs w:val="24"/>
        </w:rPr>
        <w:t xml:space="preserve">, and </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m:t>
            </m:r>
          </m:sub>
        </m:sSub>
      </m:oMath>
      <w:r w:rsidRPr="00D86F26">
        <w:rPr>
          <w:sz w:val="24"/>
          <w:szCs w:val="24"/>
        </w:rPr>
        <w:t>is the corresponding moderated test statistic. Genes with unavailable, zero, or non-informative test statistics were excluded from the affected cohort-level contribution and documented in the analysis record.</w:t>
      </w:r>
    </w:p>
    <w:p w14:paraId="579192D1" w14:textId="77777777" w:rsidR="00D86F26" w:rsidRPr="00D86F26" w:rsidRDefault="00D86F26" w:rsidP="00FC1459">
      <w:pPr>
        <w:spacing w:before="100" w:beforeAutospacing="1" w:after="100" w:afterAutospacing="1"/>
        <w:jc w:val="both"/>
        <w:rPr>
          <w:sz w:val="24"/>
          <w:szCs w:val="24"/>
        </w:rPr>
      </w:pPr>
      <w:r w:rsidRPr="00D86F26">
        <w:rPr>
          <w:sz w:val="24"/>
          <w:szCs w:val="24"/>
        </w:rPr>
        <w:t xml:space="preserve">Where available, covariates were included in cohort-specific models; otherwise, analyses were performed without additional adjustment, and this limitation was documented. The paired cohort GSE11691 was </w:t>
      </w:r>
      <w:proofErr w:type="spellStart"/>
      <w:r w:rsidRPr="00D86F26">
        <w:rPr>
          <w:sz w:val="24"/>
          <w:szCs w:val="24"/>
        </w:rPr>
        <w:t>analysed</w:t>
      </w:r>
      <w:proofErr w:type="spellEnd"/>
      <w:r w:rsidRPr="00D86F26">
        <w:rPr>
          <w:sz w:val="24"/>
          <w:szCs w:val="24"/>
        </w:rPr>
        <w:t xml:space="preserve"> separately using a paired model that preserved donor identity. No cohort was pooled before cohort-specific differential expression and effect-size extraction were completed.</w:t>
      </w:r>
    </w:p>
    <w:p w14:paraId="06BA3C96" w14:textId="3203CBC8" w:rsidR="00D86F26" w:rsidRPr="00D86F26" w:rsidRDefault="00D86F26" w:rsidP="00FC1459">
      <w:pPr>
        <w:spacing w:before="100" w:beforeAutospacing="1" w:after="100" w:afterAutospacing="1"/>
        <w:jc w:val="both"/>
        <w:outlineLvl w:val="1"/>
        <w:rPr>
          <w:b/>
          <w:bCs/>
          <w:sz w:val="24"/>
          <w:szCs w:val="24"/>
        </w:rPr>
      </w:pPr>
      <w:r>
        <w:rPr>
          <w:rFonts w:hint="cs"/>
          <w:b/>
          <w:bCs/>
          <w:sz w:val="24"/>
          <w:szCs w:val="24"/>
          <w:rtl/>
        </w:rPr>
        <w:t>2</w:t>
      </w:r>
      <w:r w:rsidRPr="00D86F26">
        <w:rPr>
          <w:b/>
          <w:bCs/>
          <w:sz w:val="24"/>
          <w:szCs w:val="24"/>
        </w:rPr>
        <w:t>.5 Gene-level random-effects meta-analysis</w:t>
      </w:r>
    </w:p>
    <w:p w14:paraId="31B3061C" w14:textId="77777777" w:rsidR="00D86F26" w:rsidRPr="00D86F26" w:rsidRDefault="00D86F26" w:rsidP="00FC1459">
      <w:pPr>
        <w:spacing w:before="100" w:beforeAutospacing="1" w:after="100" w:afterAutospacing="1"/>
        <w:jc w:val="both"/>
        <w:rPr>
          <w:sz w:val="24"/>
          <w:szCs w:val="24"/>
        </w:rPr>
      </w:pPr>
      <w:r w:rsidRPr="00D86F26">
        <w:rPr>
          <w:sz w:val="24"/>
          <w:szCs w:val="24"/>
        </w:rPr>
        <w:t xml:space="preserve">Gene-level random-effects meta-analysis was performed using restricted maximum-likelihood estimation with the </w:t>
      </w:r>
      <w:proofErr w:type="spellStart"/>
      <w:r w:rsidRPr="00D86F26">
        <w:rPr>
          <w:rFonts w:ascii="Courier New" w:hAnsi="Courier New" w:cs="Courier New"/>
          <w:sz w:val="24"/>
          <w:szCs w:val="24"/>
        </w:rPr>
        <w:t>metafor</w:t>
      </w:r>
      <w:proofErr w:type="spellEnd"/>
      <w:r w:rsidRPr="00D86F26">
        <w:rPr>
          <w:sz w:val="24"/>
          <w:szCs w:val="24"/>
        </w:rPr>
        <w:t xml:space="preserve"> package in R (</w:t>
      </w:r>
      <w:proofErr w:type="spellStart"/>
      <w:r w:rsidRPr="00D86F26">
        <w:rPr>
          <w:sz w:val="24"/>
          <w:szCs w:val="24"/>
        </w:rPr>
        <w:t>Viechtbauer</w:t>
      </w:r>
      <w:proofErr w:type="spellEnd"/>
      <w:r w:rsidRPr="00D86F26">
        <w:rPr>
          <w:sz w:val="24"/>
          <w:szCs w:val="24"/>
        </w:rPr>
        <w:t xml:space="preserve">, 2010). The primary effect </w:t>
      </w:r>
      <w:proofErr w:type="gramStart"/>
      <w:r w:rsidRPr="00D86F26">
        <w:rPr>
          <w:sz w:val="24"/>
          <w:szCs w:val="24"/>
        </w:rPr>
        <w:t>estimate</w:t>
      </w:r>
      <w:proofErr w:type="gramEnd"/>
      <w:r w:rsidRPr="00D86F26">
        <w:rPr>
          <w:sz w:val="24"/>
          <w:szCs w:val="24"/>
        </w:rPr>
        <w:t xml:space="preserve"> for gene </w:t>
      </w:r>
      <m:oMath>
        <m:r>
          <w:rPr>
            <w:rFonts w:ascii="Cambria Math" w:hAnsi="Cambria Math"/>
            <w:sz w:val="24"/>
            <w:szCs w:val="24"/>
          </w:rPr>
          <m:t>i</m:t>
        </m:r>
      </m:oMath>
      <w:r w:rsidRPr="00D86F26">
        <w:rPr>
          <w:sz w:val="24"/>
          <w:szCs w:val="24"/>
        </w:rPr>
        <w:t xml:space="preserve">, denoted </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i</m:t>
            </m:r>
          </m:sub>
        </m:sSub>
      </m:oMath>
      <w:r w:rsidRPr="00D86F26">
        <w:rPr>
          <w:sz w:val="24"/>
          <w:szCs w:val="24"/>
        </w:rPr>
        <w:t>, was the pooled ectopic-versus-eutopic log2 fold change:</w:t>
      </w:r>
    </w:p>
    <w:p w14:paraId="3BFE1BD1" w14:textId="77777777" w:rsidR="00D86F26" w:rsidRPr="00D86F26" w:rsidRDefault="00000000" w:rsidP="00FC1459">
      <w:pPr>
        <w:jc w:val="both"/>
        <w:rPr>
          <w:sz w:val="24"/>
          <w:szCs w:val="24"/>
        </w:rPr>
      </w:pPr>
      <m:oMathPara>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nary>
                <m:naryPr>
                  <m:chr m:val="∑"/>
                  <m:limLoc m:val="undOvr"/>
                  <m:grow m:val="1"/>
                  <m:ctrlPr>
                    <w:rPr>
                      <w:rFonts w:ascii="Cambria Math" w:hAnsi="Cambria Math"/>
                      <w:sz w:val="24"/>
                      <w:szCs w:val="24"/>
                    </w:rPr>
                  </m:ctrlPr>
                </m:naryPr>
                <m:sub>
                  <m:r>
                    <w:rPr>
                      <w:rFonts w:ascii="Cambria Math" w:hAnsi="Cambria Math"/>
                      <w:sz w:val="24"/>
                      <w:szCs w:val="24"/>
                    </w:rPr>
                    <m:t>j=1</m:t>
                  </m:r>
                </m:sub>
                <m:sup>
                  <m:r>
                    <w:rPr>
                      <w:rFonts w:ascii="Cambria Math" w:hAnsi="Cambria Math"/>
                      <w:sz w:val="24"/>
                      <w:szCs w:val="24"/>
                    </w:rPr>
                    <m:t>k</m:t>
                  </m:r>
                </m:sup>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ij</m:t>
                      </m:r>
                    </m:sub>
                  </m:sSub>
                </m:e>
              </m:nary>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ij</m:t>
                  </m:r>
                </m:sub>
              </m:sSub>
            </m:num>
            <m:den>
              <m:nary>
                <m:naryPr>
                  <m:chr m:val="∑"/>
                  <m:limLoc m:val="undOvr"/>
                  <m:grow m:val="1"/>
                  <m:ctrlPr>
                    <w:rPr>
                      <w:rFonts w:ascii="Cambria Math" w:hAnsi="Cambria Math"/>
                      <w:sz w:val="24"/>
                      <w:szCs w:val="24"/>
                    </w:rPr>
                  </m:ctrlPr>
                </m:naryPr>
                <m:sub>
                  <m:r>
                    <w:rPr>
                      <w:rFonts w:ascii="Cambria Math" w:hAnsi="Cambria Math"/>
                      <w:sz w:val="24"/>
                      <w:szCs w:val="24"/>
                    </w:rPr>
                    <m:t>j=1</m:t>
                  </m:r>
                </m:sub>
                <m:sup>
                  <m:r>
                    <w:rPr>
                      <w:rFonts w:ascii="Cambria Math" w:hAnsi="Cambria Math"/>
                      <w:sz w:val="24"/>
                      <w:szCs w:val="24"/>
                    </w:rPr>
                    <m:t>k</m:t>
                  </m:r>
                </m:sup>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ij</m:t>
                      </m:r>
                    </m:sub>
                  </m:sSub>
                </m:e>
              </m:nary>
            </m:den>
          </m:f>
          <m:r>
            <w:rPr>
              <w:rFonts w:ascii="Cambria Math" w:hAnsi="Cambria Math"/>
              <w:sz w:val="24"/>
              <w:szCs w:val="24"/>
            </w:rPr>
            <m:t>,</m:t>
          </m:r>
          <m:r>
            <w:rPr>
              <w:rFonts w:ascii="Cambria Math" w:hAnsi="Cambria Math"/>
              <w:sz w:val="24"/>
              <w:szCs w:val="24"/>
            </w:rPr>
            <w:br/>
          </m:r>
        </m:oMath>
      </m:oMathPara>
    </w:p>
    <w:p w14:paraId="1E7DEAE2" w14:textId="77777777" w:rsidR="00D86F26" w:rsidRPr="00D86F26" w:rsidRDefault="00D86F26" w:rsidP="00FC1459">
      <w:pPr>
        <w:spacing w:before="100" w:beforeAutospacing="1" w:after="100" w:afterAutospacing="1"/>
        <w:jc w:val="both"/>
        <w:rPr>
          <w:sz w:val="24"/>
          <w:szCs w:val="24"/>
        </w:rPr>
      </w:pPr>
      <w:r w:rsidRPr="00D86F26">
        <w:rPr>
          <w:sz w:val="24"/>
          <w:szCs w:val="24"/>
        </w:rPr>
        <w:lastRenderedPageBreak/>
        <w:t xml:space="preserve">where </w:t>
      </w:r>
      <m:oMath>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ij</m:t>
            </m:r>
          </m:sub>
        </m:sSub>
      </m:oMath>
      <w:r w:rsidRPr="00D86F26">
        <w:rPr>
          <w:sz w:val="24"/>
          <w:szCs w:val="24"/>
        </w:rPr>
        <w:t xml:space="preserve">is the cohort-specific log2 fold change for gene </w:t>
      </w:r>
      <m:oMath>
        <m:r>
          <w:rPr>
            <w:rFonts w:ascii="Cambria Math" w:hAnsi="Cambria Math"/>
            <w:sz w:val="24"/>
            <w:szCs w:val="24"/>
          </w:rPr>
          <m:t>i</m:t>
        </m:r>
      </m:oMath>
      <w:r w:rsidRPr="00D86F26">
        <w:rPr>
          <w:sz w:val="24"/>
          <w:szCs w:val="24"/>
        </w:rPr>
        <w:t xml:space="preserve">in cohort </w:t>
      </w:r>
      <m:oMath>
        <m:r>
          <w:rPr>
            <w:rFonts w:ascii="Cambria Math" w:hAnsi="Cambria Math"/>
            <w:sz w:val="24"/>
            <w:szCs w:val="24"/>
          </w:rPr>
          <m:t>j</m:t>
        </m:r>
      </m:oMath>
      <w:r w:rsidRPr="00D86F26">
        <w:rPr>
          <w:sz w:val="24"/>
          <w:szCs w:val="24"/>
        </w:rPr>
        <w:t xml:space="preserve">, and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ij</m:t>
            </m:r>
          </m:sub>
        </m:sSub>
      </m:oMath>
      <w:r w:rsidRPr="00D86F26">
        <w:rPr>
          <w:sz w:val="24"/>
          <w:szCs w:val="24"/>
        </w:rPr>
        <w:t>is the corresponding inverse-variance weight. Between-study heterogeneity was estimated within the random-effects model.</w:t>
      </w:r>
    </w:p>
    <w:p w14:paraId="5FA89E4A" w14:textId="77777777" w:rsidR="00D86F26" w:rsidRPr="00D86F26" w:rsidRDefault="00D86F26" w:rsidP="00FC1459">
      <w:pPr>
        <w:spacing w:before="100" w:beforeAutospacing="1" w:after="100" w:afterAutospacing="1"/>
        <w:jc w:val="both"/>
        <w:rPr>
          <w:sz w:val="24"/>
          <w:szCs w:val="24"/>
        </w:rPr>
      </w:pPr>
      <w:r w:rsidRPr="00D86F26">
        <w:rPr>
          <w:sz w:val="24"/>
          <w:szCs w:val="24"/>
        </w:rPr>
        <w:t xml:space="preserve">The Benjamini–Hochberg procedure was applied across all 21,355 analyzed genes as a single multiple-testing family. A gene was classified as Tier 1 if it satisfied three prespecified criteria: BH-FDR &lt; 0.05, absolute pooled log2 fold change </w:t>
      </w:r>
      <m:oMath>
        <m:r>
          <w:rPr>
            <w:rFonts w:ascii="Cambria Math" w:hAnsi="Cambria Math"/>
            <w:sz w:val="24"/>
            <w:szCs w:val="24"/>
          </w:rPr>
          <m:t>∣M∣≥0.5</m:t>
        </m:r>
      </m:oMath>
      <w:r w:rsidRPr="00D86F26">
        <w:rPr>
          <w:sz w:val="24"/>
          <w:szCs w:val="24"/>
        </w:rPr>
        <w:t>, and directional concordance with the pooled estimate in at least four of the six primary cohorts. The effect-size threshold was interpretive only and did not replace or modify the FDR claim gate.</w:t>
      </w:r>
    </w:p>
    <w:p w14:paraId="62CD73F1" w14:textId="77777777" w:rsidR="00D86F26" w:rsidRPr="00D86F26" w:rsidRDefault="00D86F26" w:rsidP="00FC1459">
      <w:pPr>
        <w:spacing w:before="100" w:beforeAutospacing="1" w:after="100" w:afterAutospacing="1"/>
        <w:jc w:val="both"/>
        <w:rPr>
          <w:sz w:val="24"/>
          <w:szCs w:val="24"/>
        </w:rPr>
      </w:pPr>
      <w:r w:rsidRPr="00D86F26">
        <w:rPr>
          <w:sz w:val="24"/>
          <w:szCs w:val="24"/>
        </w:rPr>
        <w:t>Directional concordance was defined as agreement between the sign of the cohort-specific ectopic-versus-</w:t>
      </w:r>
      <w:proofErr w:type="spellStart"/>
      <w:r w:rsidRPr="00D86F26">
        <w:rPr>
          <w:sz w:val="24"/>
          <w:szCs w:val="24"/>
        </w:rPr>
        <w:t>eutopic</w:t>
      </w:r>
      <w:proofErr w:type="spellEnd"/>
      <w:r w:rsidRPr="00D86F26">
        <w:rPr>
          <w:sz w:val="24"/>
          <w:szCs w:val="24"/>
        </w:rPr>
        <w:t xml:space="preserve"> log2 fold change and the sign of the pooled meta-analytic estimate in at least four of six primary cohorts. Nominal cohort-level significance was not required for directional concordance.</w:t>
      </w:r>
    </w:p>
    <w:p w14:paraId="7EE5D670" w14:textId="77777777" w:rsidR="00D86F26" w:rsidRPr="00D86F26" w:rsidRDefault="00D86F26" w:rsidP="00FC1459">
      <w:pPr>
        <w:spacing w:before="100" w:beforeAutospacing="1" w:after="100" w:afterAutospacing="1"/>
        <w:jc w:val="both"/>
        <w:rPr>
          <w:sz w:val="24"/>
          <w:szCs w:val="24"/>
        </w:rPr>
      </w:pPr>
      <w:r w:rsidRPr="00D86F26">
        <w:rPr>
          <w:sz w:val="24"/>
          <w:szCs w:val="24"/>
        </w:rPr>
        <w:t xml:space="preserve">Between-cohort heterogeneity was quantified for each gene using Cochran’s </w:t>
      </w:r>
      <m:oMath>
        <m:r>
          <w:rPr>
            <w:rFonts w:ascii="Cambria Math" w:hAnsi="Cambria Math"/>
            <w:sz w:val="24"/>
            <w:szCs w:val="24"/>
          </w:rPr>
          <m:t>Q</m:t>
        </m:r>
      </m:oMath>
      <w:r w:rsidRPr="00D86F26">
        <w:rPr>
          <w:sz w:val="24"/>
          <w:szCs w:val="24"/>
        </w:rPr>
        <w:t xml:space="preserve">, </w:t>
      </w:r>
      <m:oMath>
        <m:sSup>
          <m:sSupPr>
            <m:ctrlPr>
              <w:rPr>
                <w:rFonts w:ascii="Cambria Math" w:hAnsi="Cambria Math"/>
                <w:sz w:val="24"/>
                <w:szCs w:val="24"/>
              </w:rPr>
            </m:ctrlPr>
          </m:sSupPr>
          <m:e>
            <m:r>
              <w:rPr>
                <w:rFonts w:ascii="Cambria Math" w:hAnsi="Cambria Math"/>
                <w:sz w:val="24"/>
                <w:szCs w:val="24"/>
              </w:rPr>
              <m:t>τ</m:t>
            </m:r>
          </m:e>
          <m:sup>
            <m:r>
              <w:rPr>
                <w:rFonts w:ascii="Cambria Math" w:hAnsi="Cambria Math"/>
                <w:sz w:val="24"/>
                <w:szCs w:val="24"/>
              </w:rPr>
              <m:t>2</m:t>
            </m:r>
          </m:sup>
        </m:sSup>
      </m:oMath>
      <w:r w:rsidRPr="00D86F26">
        <w:rPr>
          <w:sz w:val="24"/>
          <w:szCs w:val="24"/>
        </w:rPr>
        <w:t xml:space="preserve">, and </w:t>
      </w:r>
      <m:oMath>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2</m:t>
            </m:r>
          </m:sup>
        </m:sSup>
      </m:oMath>
      <w:r w:rsidRPr="00D86F26">
        <w:rPr>
          <w:sz w:val="24"/>
          <w:szCs w:val="24"/>
        </w:rPr>
        <w:t>. These statistics were reported for all genes, including genes that did not meet the Tier-1 criteria, and were never used as exclusion thresholds (Higgins et al., 2003).</w:t>
      </w:r>
    </w:p>
    <w:p w14:paraId="52608A7C" w14:textId="5A2F7844" w:rsidR="00D86F26" w:rsidRPr="00D86F26" w:rsidRDefault="00D86F26" w:rsidP="00FC1459">
      <w:pPr>
        <w:spacing w:before="100" w:beforeAutospacing="1" w:after="100" w:afterAutospacing="1"/>
        <w:jc w:val="both"/>
        <w:outlineLvl w:val="1"/>
        <w:rPr>
          <w:b/>
          <w:bCs/>
          <w:sz w:val="24"/>
          <w:szCs w:val="24"/>
        </w:rPr>
      </w:pPr>
      <w:r>
        <w:rPr>
          <w:rFonts w:hint="cs"/>
          <w:b/>
          <w:bCs/>
          <w:sz w:val="24"/>
          <w:szCs w:val="24"/>
          <w:rtl/>
        </w:rPr>
        <w:t>2</w:t>
      </w:r>
      <w:r w:rsidRPr="00D86F26">
        <w:rPr>
          <w:b/>
          <w:bCs/>
          <w:sz w:val="24"/>
          <w:szCs w:val="24"/>
        </w:rPr>
        <w:t>.6 Sensitivity analyses and robust-core definition</w:t>
      </w:r>
    </w:p>
    <w:p w14:paraId="45F371AD" w14:textId="1F1855E7" w:rsidR="00D86F26" w:rsidRPr="00D86F26" w:rsidRDefault="00D86F26" w:rsidP="00FC1459">
      <w:pPr>
        <w:spacing w:before="100" w:beforeAutospacing="1" w:after="100" w:afterAutospacing="1"/>
        <w:jc w:val="both"/>
        <w:rPr>
          <w:sz w:val="24"/>
          <w:szCs w:val="24"/>
        </w:rPr>
      </w:pPr>
      <w:r w:rsidRPr="00D86F26">
        <w:rPr>
          <w:sz w:val="24"/>
          <w:szCs w:val="24"/>
        </w:rPr>
        <w:t>Robustness of Tier-1 membership was evaluated through a prespecified sensitivity battery comprising six leave-one-cohort-out meta-analyses, one analysis excluding GSE7307, a fixed-effects model contrast, and two frozen quality-control-swap replications. For each scenario, the full analytical pipeline was repeated from cohort-level effect estimates through meta-analysis, BH correction, effect-size tiering, and Tier-1 classification.</w:t>
      </w:r>
      <w:r>
        <w:rPr>
          <w:rFonts w:hint="cs"/>
          <w:sz w:val="24"/>
          <w:szCs w:val="24"/>
          <w:rtl/>
        </w:rPr>
        <w:t xml:space="preserve"> </w:t>
      </w:r>
      <w:r w:rsidRPr="00D86F26">
        <w:rPr>
          <w:sz w:val="24"/>
          <w:szCs w:val="24"/>
        </w:rPr>
        <w:t>Robustness was assessed hierarchically. The six leave-one-cohort-out analyses and the sans-GSE7307 analysis defined the robust core. The fixed-effects contrast and the two quality-control-swap replications were reported separately as model-choice and technical-robustness checks, respectively, and were not required for robust-core membership.</w:t>
      </w:r>
      <w:r>
        <w:rPr>
          <w:rFonts w:hint="cs"/>
          <w:sz w:val="24"/>
          <w:szCs w:val="24"/>
          <w:rtl/>
        </w:rPr>
        <w:t xml:space="preserve"> </w:t>
      </w:r>
      <w:r w:rsidRPr="00D86F26">
        <w:rPr>
          <w:sz w:val="24"/>
          <w:szCs w:val="24"/>
        </w:rPr>
        <w:t>The robust core was therefore defined a priori as the set of genes retaining Tier-1 status across all six leave-one-cohort-out analyses and the sans-GSE7307 analysis. This design ensured that no single primary cohort could determine robust-core membership.</w:t>
      </w:r>
    </w:p>
    <w:p w14:paraId="275CDCC1" w14:textId="43AAFFB5" w:rsidR="00D86F26" w:rsidRPr="00D86F26" w:rsidRDefault="00D86F26" w:rsidP="00FC1459">
      <w:pPr>
        <w:spacing w:before="100" w:beforeAutospacing="1" w:after="100" w:afterAutospacing="1"/>
        <w:jc w:val="both"/>
        <w:outlineLvl w:val="1"/>
        <w:rPr>
          <w:b/>
          <w:bCs/>
          <w:sz w:val="24"/>
          <w:szCs w:val="24"/>
        </w:rPr>
      </w:pPr>
      <w:r>
        <w:rPr>
          <w:rFonts w:hint="cs"/>
          <w:b/>
          <w:bCs/>
          <w:sz w:val="24"/>
          <w:szCs w:val="24"/>
          <w:rtl/>
        </w:rPr>
        <w:t>2</w:t>
      </w:r>
      <w:r w:rsidRPr="00D86F26">
        <w:rPr>
          <w:b/>
          <w:bCs/>
          <w:sz w:val="24"/>
          <w:szCs w:val="24"/>
        </w:rPr>
        <w:t>.7 Functional axes and pathway-level meta-analysis</w:t>
      </w:r>
    </w:p>
    <w:p w14:paraId="308DA8F6" w14:textId="77777777" w:rsidR="00D86F26" w:rsidRPr="00D86F26" w:rsidRDefault="00D86F26" w:rsidP="00FC1459">
      <w:pPr>
        <w:spacing w:before="100" w:beforeAutospacing="1" w:after="100" w:afterAutospacing="1"/>
        <w:jc w:val="both"/>
        <w:rPr>
          <w:sz w:val="24"/>
          <w:szCs w:val="24"/>
        </w:rPr>
      </w:pPr>
      <w:r w:rsidRPr="00D86F26">
        <w:rPr>
          <w:sz w:val="24"/>
          <w:szCs w:val="24"/>
        </w:rPr>
        <w:t>Five prespecified functional axes were evaluated: cytotoxicity, antigen presentation, senescence/dormancy, proliferation, and stromal extracellular-matrix biology. The axes comprised 24 genes selected before analysis and documented with biological rationale and source. The cytotoxicity axis included CD8A, CD8B, GZMB, PRF1, NKG7, and GNLY. The antigen-presentation axis included HLA-A, HLA-B, HLA-C, B2M, TAP1, and TAP2. The proliferation axis included MKI67, TOP2A, and PCNA.</w:t>
      </w:r>
    </w:p>
    <w:p w14:paraId="4597BED5" w14:textId="77777777" w:rsidR="00D86F26" w:rsidRPr="00D86F26" w:rsidRDefault="00D86F26" w:rsidP="00FC1459">
      <w:pPr>
        <w:spacing w:before="100" w:beforeAutospacing="1" w:after="100" w:afterAutospacing="1"/>
        <w:jc w:val="both"/>
        <w:rPr>
          <w:sz w:val="24"/>
          <w:szCs w:val="24"/>
        </w:rPr>
      </w:pPr>
      <w:r w:rsidRPr="00D86F26">
        <w:rPr>
          <w:sz w:val="24"/>
          <w:szCs w:val="24"/>
        </w:rPr>
        <w:t xml:space="preserve">Within each cohort, gene-level expression values were converted to z-scores across samples. The axis score was calculated as the </w:t>
      </w:r>
      <w:proofErr w:type="gramStart"/>
      <w:r w:rsidRPr="00D86F26">
        <w:rPr>
          <w:sz w:val="24"/>
          <w:szCs w:val="24"/>
        </w:rPr>
        <w:t>mean</w:t>
      </w:r>
      <w:proofErr w:type="gramEnd"/>
      <w:r w:rsidRPr="00D86F26">
        <w:rPr>
          <w:sz w:val="24"/>
          <w:szCs w:val="24"/>
        </w:rPr>
        <w:t xml:space="preserve"> of the available gene-level z-scores. Senescence was additionally assessed using the SenMayo gene set (</w:t>
      </w:r>
      <w:proofErr w:type="spellStart"/>
      <w:r w:rsidRPr="00D86F26">
        <w:rPr>
          <w:sz w:val="24"/>
          <w:szCs w:val="24"/>
        </w:rPr>
        <w:t>MSigDB</w:t>
      </w:r>
      <w:proofErr w:type="spellEnd"/>
      <w:r w:rsidRPr="00D86F26">
        <w:rPr>
          <w:sz w:val="24"/>
          <w:szCs w:val="24"/>
        </w:rPr>
        <w:t xml:space="preserve"> identifier SAUL_SEN_MAYO, M45803), a curated panel associated with cellular senescence and the senescence-associated secretory phenotype (Saul et al., 2022).</w:t>
      </w:r>
    </w:p>
    <w:p w14:paraId="6980C692" w14:textId="77777777" w:rsidR="00D86F26" w:rsidRPr="00D86F26" w:rsidRDefault="00D86F26" w:rsidP="00FC1459">
      <w:pPr>
        <w:spacing w:before="100" w:beforeAutospacing="1" w:after="100" w:afterAutospacing="1"/>
        <w:jc w:val="both"/>
        <w:rPr>
          <w:sz w:val="24"/>
          <w:szCs w:val="24"/>
        </w:rPr>
      </w:pPr>
      <w:r w:rsidRPr="00D86F26">
        <w:rPr>
          <w:sz w:val="24"/>
          <w:szCs w:val="24"/>
        </w:rPr>
        <w:lastRenderedPageBreak/>
        <w:t>Pathway-level random-effects meta-analysis used the same REML framework as gene-level analysis. A pathway was considered testable only when represented in at least four cohorts (</w:t>
      </w:r>
      <m:oMath>
        <m:sSub>
          <m:sSubPr>
            <m:ctrlPr>
              <w:rPr>
                <w:rFonts w:ascii="Cambria Math" w:hAnsi="Cambria Math"/>
                <w:sz w:val="24"/>
                <w:szCs w:val="24"/>
              </w:rPr>
            </m:ctrlPr>
          </m:sSubPr>
          <m:e>
            <m:r>
              <w:rPr>
                <w:rFonts w:ascii="Cambria Math" w:hAnsi="Cambria Math"/>
                <w:sz w:val="24"/>
                <w:szCs w:val="24"/>
              </w:rPr>
              <m:t>k</m:t>
            </m:r>
          </m:e>
          <m:sub>
            <m:r>
              <m:rPr>
                <m:sty m:val="p"/>
              </m:rPr>
              <w:rPr>
                <w:rFonts w:ascii="Cambria Math" w:hAnsi="Cambria Math"/>
                <w:sz w:val="24"/>
                <w:szCs w:val="24"/>
              </w:rPr>
              <m:t>min</m:t>
            </m:r>
          </m:sub>
        </m:sSub>
        <m:r>
          <w:rPr>
            <w:rFonts w:ascii="Cambria Math" w:hAnsi="Cambria Math"/>
            <w:sz w:val="24"/>
            <w:szCs w:val="24"/>
          </w:rPr>
          <m:t>=4</m:t>
        </m:r>
      </m:oMath>
      <w:r w:rsidRPr="00D86F26">
        <w:rPr>
          <w:sz w:val="24"/>
          <w:szCs w:val="24"/>
        </w:rPr>
        <w:t xml:space="preserve">). Standard errors for pathway-level estimates were derived as </w:t>
      </w:r>
      <m:oMath>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log</m:t>
            </m:r>
          </m:e>
          <m:sub>
            <m:r>
              <w:rPr>
                <w:rFonts w:ascii="Cambria Math" w:hAnsi="Cambria Math"/>
                <w:sz w:val="24"/>
                <w:szCs w:val="24"/>
              </w:rPr>
              <m:t>2</m:t>
            </m:r>
          </m:sub>
        </m:sSub>
        <m:r>
          <w:rPr>
            <w:rFonts w:ascii="Cambria Math" w:hAnsi="Cambria Math"/>
            <w:sz w:val="24"/>
            <w:szCs w:val="24"/>
          </w:rPr>
          <m:t>FC/t∣</m:t>
        </m:r>
      </m:oMath>
      <w:r w:rsidRPr="00D86F26">
        <w:rPr>
          <w:sz w:val="24"/>
          <w:szCs w:val="24"/>
        </w:rPr>
        <w:t>. BH-FDR correction was applied across the six prespecified pathway tests as a separate multiple-testing family. Heterogeneity statistics were reported for every pathway and were not used to remove pathways from analysis.</w:t>
      </w:r>
    </w:p>
    <w:p w14:paraId="0C4EBD0A" w14:textId="0849A337" w:rsidR="00D86F26" w:rsidRPr="00D86F26" w:rsidRDefault="00D86F26" w:rsidP="00FC1459">
      <w:pPr>
        <w:spacing w:before="100" w:beforeAutospacing="1" w:after="100" w:afterAutospacing="1"/>
        <w:jc w:val="both"/>
        <w:outlineLvl w:val="1"/>
        <w:rPr>
          <w:b/>
          <w:bCs/>
          <w:sz w:val="24"/>
          <w:szCs w:val="24"/>
        </w:rPr>
      </w:pPr>
      <w:r>
        <w:rPr>
          <w:rFonts w:hint="cs"/>
          <w:b/>
          <w:bCs/>
          <w:sz w:val="24"/>
          <w:szCs w:val="24"/>
          <w:rtl/>
        </w:rPr>
        <w:t>2</w:t>
      </w:r>
      <w:r w:rsidRPr="00D86F26">
        <w:rPr>
          <w:b/>
          <w:bCs/>
          <w:sz w:val="24"/>
          <w:szCs w:val="24"/>
        </w:rPr>
        <w:t>.8 Paired-cohort concordance analysis</w:t>
      </w:r>
    </w:p>
    <w:p w14:paraId="3C49968A" w14:textId="5ABBC156" w:rsidR="00D86F26" w:rsidRPr="00D86F26" w:rsidRDefault="00D86F26" w:rsidP="00FC1459">
      <w:pPr>
        <w:spacing w:before="100" w:beforeAutospacing="1" w:after="100" w:afterAutospacing="1"/>
        <w:jc w:val="both"/>
        <w:rPr>
          <w:sz w:val="24"/>
          <w:szCs w:val="24"/>
        </w:rPr>
      </w:pPr>
      <w:r w:rsidRPr="00D86F26">
        <w:rPr>
          <w:sz w:val="24"/>
          <w:szCs w:val="24"/>
        </w:rPr>
        <w:t xml:space="preserve">GSE11691 was </w:t>
      </w:r>
      <w:proofErr w:type="spellStart"/>
      <w:r w:rsidRPr="00D86F26">
        <w:rPr>
          <w:sz w:val="24"/>
          <w:szCs w:val="24"/>
        </w:rPr>
        <w:t>analysed</w:t>
      </w:r>
      <w:proofErr w:type="spellEnd"/>
      <w:r w:rsidRPr="00D86F26">
        <w:rPr>
          <w:sz w:val="24"/>
          <w:szCs w:val="24"/>
        </w:rPr>
        <w:t xml:space="preserve"> separately as a within-patient concordance dataset. Paired ectopic-versus-</w:t>
      </w:r>
      <w:proofErr w:type="spellStart"/>
      <w:r w:rsidRPr="00D86F26">
        <w:rPr>
          <w:sz w:val="24"/>
          <w:szCs w:val="24"/>
        </w:rPr>
        <w:t>eutopic</w:t>
      </w:r>
      <w:proofErr w:type="spellEnd"/>
      <w:r w:rsidRPr="00D86F26">
        <w:rPr>
          <w:sz w:val="24"/>
          <w:szCs w:val="24"/>
        </w:rPr>
        <w:t xml:space="preserve"> log2 fold changes were calculated for each gene while preserving the matched donor structure.</w:t>
      </w:r>
      <w:r>
        <w:rPr>
          <w:rFonts w:hint="cs"/>
          <w:sz w:val="24"/>
          <w:szCs w:val="24"/>
          <w:rtl/>
        </w:rPr>
        <w:t xml:space="preserve"> </w:t>
      </w:r>
      <w:r w:rsidRPr="00D86F26">
        <w:rPr>
          <w:sz w:val="24"/>
          <w:szCs w:val="24"/>
        </w:rPr>
        <w:t>Concordance with the primary meta-analysis was assessed at two levels. Genome-wide directional agreement was assessed across 13,036 overlapping genes. Tier-1-specific directional agreement was assessed across the 391 Tier-1 genes testable in the paired dataset. Pearson correlation was used to quantify agreement between the primary pooled log2 fold-change estimate and the paired ectopic-versus-</w:t>
      </w:r>
      <w:proofErr w:type="spellStart"/>
      <w:r w:rsidRPr="00D86F26">
        <w:rPr>
          <w:sz w:val="24"/>
          <w:szCs w:val="24"/>
        </w:rPr>
        <w:t>eutopic</w:t>
      </w:r>
      <w:proofErr w:type="spellEnd"/>
      <w:r w:rsidRPr="00D86F26">
        <w:rPr>
          <w:sz w:val="24"/>
          <w:szCs w:val="24"/>
        </w:rPr>
        <w:t xml:space="preserve"> log2 fold change.</w:t>
      </w:r>
      <w:r>
        <w:rPr>
          <w:rFonts w:hint="cs"/>
          <w:sz w:val="24"/>
          <w:szCs w:val="24"/>
          <w:rtl/>
        </w:rPr>
        <w:t xml:space="preserve"> </w:t>
      </w:r>
      <w:r w:rsidRPr="00D86F26">
        <w:rPr>
          <w:sz w:val="24"/>
          <w:szCs w:val="24"/>
        </w:rPr>
        <w:t>The paired dataset was not pooled with the primary cohorts. Concordance results were interpreted as evidence of directional replication rather than independent confirmation of effect magnitude.</w:t>
      </w:r>
    </w:p>
    <w:p w14:paraId="6E2103A6" w14:textId="074F1D35" w:rsidR="00D86F26" w:rsidRPr="00D86F26" w:rsidRDefault="00D86F26" w:rsidP="00FC1459">
      <w:pPr>
        <w:spacing w:before="100" w:beforeAutospacing="1" w:after="100" w:afterAutospacing="1"/>
        <w:jc w:val="both"/>
        <w:outlineLvl w:val="1"/>
        <w:rPr>
          <w:b/>
          <w:bCs/>
          <w:sz w:val="24"/>
          <w:szCs w:val="24"/>
        </w:rPr>
      </w:pPr>
      <w:r>
        <w:rPr>
          <w:rFonts w:hint="cs"/>
          <w:b/>
          <w:bCs/>
          <w:sz w:val="24"/>
          <w:szCs w:val="24"/>
          <w:rtl/>
        </w:rPr>
        <w:t>2</w:t>
      </w:r>
      <w:r w:rsidRPr="00D86F26">
        <w:rPr>
          <w:b/>
          <w:bCs/>
          <w:sz w:val="24"/>
          <w:szCs w:val="24"/>
        </w:rPr>
        <w:t>.9 Single-cell quality control and integration</w:t>
      </w:r>
    </w:p>
    <w:p w14:paraId="0395D724" w14:textId="77777777" w:rsidR="00D86F26" w:rsidRPr="00D86F26" w:rsidRDefault="00D86F26" w:rsidP="00FC1459">
      <w:pPr>
        <w:spacing w:before="100" w:beforeAutospacing="1" w:after="100" w:afterAutospacing="1"/>
        <w:jc w:val="both"/>
        <w:rPr>
          <w:sz w:val="24"/>
          <w:szCs w:val="24"/>
        </w:rPr>
      </w:pPr>
      <w:r w:rsidRPr="00D86F26">
        <w:rPr>
          <w:sz w:val="24"/>
          <w:szCs w:val="24"/>
        </w:rPr>
        <w:t>Single-cell RNA-sequencing data from GSE179640, GSE183837, and GSE214411 were processed using a harmonized prespecified quality-control workflow. Across 55 samples, 383,144 cells were initially loaded. After quality control, 233,459 cells were retained, corresponding to 60.9% of the original cell population. In GSE179640, 109,398 of 159,834 cells were retained across 33 samples; in GSE183837, 40,801 of 67,949 cells were retained across nine samples; and in GSE214411, 83,260 of 155,361 cells were retained across 13 samples. All contributing samples were retained after quality control.</w:t>
      </w:r>
    </w:p>
    <w:p w14:paraId="266B3FD8" w14:textId="77777777" w:rsidR="00D86F26" w:rsidRPr="00D86F26" w:rsidRDefault="00D86F26" w:rsidP="00FC1459">
      <w:pPr>
        <w:spacing w:before="100" w:beforeAutospacing="1" w:after="100" w:afterAutospacing="1"/>
        <w:jc w:val="both"/>
        <w:rPr>
          <w:sz w:val="24"/>
          <w:szCs w:val="24"/>
        </w:rPr>
      </w:pPr>
      <w:r w:rsidRPr="00D86F26">
        <w:rPr>
          <w:sz w:val="24"/>
          <w:szCs w:val="24"/>
        </w:rPr>
        <w:t>Cells were required to express at least 200 genes and no more than 6,000 genes. Cells with mitochondrial transcript fractions exceeding 20% in GSE179640 or GSE183837, or 10% in GSE214411, were excluded. Cells with hemoglobin-associated transcript fractions exceeding 5% were also excluded. No threshold based on total UMI count was applied. Genes detected in fewer than three cells were removed during Seurat object construction.</w:t>
      </w:r>
    </w:p>
    <w:p w14:paraId="7B7D0B0C" w14:textId="77777777" w:rsidR="00D86F26" w:rsidRPr="00D86F26" w:rsidRDefault="00D86F26" w:rsidP="00FC1459">
      <w:pPr>
        <w:spacing w:before="100" w:beforeAutospacing="1" w:after="100" w:afterAutospacing="1"/>
        <w:jc w:val="both"/>
        <w:rPr>
          <w:sz w:val="24"/>
          <w:szCs w:val="24"/>
        </w:rPr>
      </w:pPr>
      <w:r w:rsidRPr="00D86F26">
        <w:rPr>
          <w:sz w:val="24"/>
          <w:szCs w:val="24"/>
        </w:rPr>
        <w:t xml:space="preserve">Doublets were identified independently within each sample using </w:t>
      </w:r>
      <w:proofErr w:type="spellStart"/>
      <w:r w:rsidRPr="00D86F26">
        <w:rPr>
          <w:rFonts w:ascii="Courier New" w:hAnsi="Courier New" w:cs="Courier New"/>
          <w:sz w:val="24"/>
          <w:szCs w:val="24"/>
        </w:rPr>
        <w:t>scDblFinder</w:t>
      </w:r>
      <w:proofErr w:type="spellEnd"/>
      <w:r w:rsidRPr="00D86F26">
        <w:rPr>
          <w:sz w:val="24"/>
          <w:szCs w:val="24"/>
        </w:rPr>
        <w:t>. A random seed of 42 was set immediately before processing each sample to ensure deterministic doublet calls. Sample-level doublet proportions were 7.3% in GSE179640, 7.8% in GSE183837, and 10.9% in GSE214411. Ambient-RNA correction was not applied. Each cell barcode was prefixed with a sample-specific identifier, and sample-to-condition mappings were verified against GEO metadata before contrast definitions were frozen.</w:t>
      </w:r>
    </w:p>
    <w:p w14:paraId="071DB370" w14:textId="77777777" w:rsidR="00D86F26" w:rsidRPr="00D86F26" w:rsidRDefault="00D86F26" w:rsidP="00FC1459">
      <w:pPr>
        <w:spacing w:before="100" w:beforeAutospacing="1" w:after="100" w:afterAutospacing="1"/>
        <w:jc w:val="both"/>
        <w:rPr>
          <w:sz w:val="24"/>
          <w:szCs w:val="24"/>
        </w:rPr>
      </w:pPr>
      <w:r w:rsidRPr="00D86F26">
        <w:rPr>
          <w:sz w:val="24"/>
          <w:szCs w:val="24"/>
        </w:rPr>
        <w:t xml:space="preserve">Quality-controlled cells were integrated using a staged, memory-isolated workflow. Highly variable genes were defined using the union across datasets. Fifty principal components were calculated, and Harmony integration was performed using sample and dataset as covariates, with </w:t>
      </w:r>
      <m:oMath>
        <m:r>
          <w:rPr>
            <w:rFonts w:ascii="Cambria Math" w:hAnsi="Cambria Math"/>
            <w:sz w:val="24"/>
            <w:szCs w:val="24"/>
          </w:rPr>
          <m:t>θ=2</m:t>
        </m:r>
      </m:oMath>
      <w:r w:rsidRPr="00D86F26">
        <w:rPr>
          <w:sz w:val="24"/>
          <w:szCs w:val="24"/>
        </w:rPr>
        <w:t>for each covariate. The first 30 Harmony dimensions were used for neighbour-graph construction, UMAP embedding, and clustering at a resolution of 0.5.</w:t>
      </w:r>
    </w:p>
    <w:p w14:paraId="19798EB4" w14:textId="77777777" w:rsidR="00D86F26" w:rsidRPr="00D86F26" w:rsidRDefault="00D86F26" w:rsidP="00FC1459">
      <w:pPr>
        <w:spacing w:before="100" w:beforeAutospacing="1" w:after="100" w:afterAutospacing="1"/>
        <w:jc w:val="both"/>
        <w:rPr>
          <w:sz w:val="24"/>
          <w:szCs w:val="24"/>
        </w:rPr>
      </w:pPr>
      <w:r w:rsidRPr="00D86F26">
        <w:rPr>
          <w:sz w:val="24"/>
          <w:szCs w:val="24"/>
        </w:rPr>
        <w:t>The integrated object contained 29 clusters and 233,459 cells assigned to eight lineages: stromal, epithelial, NKT, endothelial, myeloid, perivascular, B/plasma, and mast cells. Cell-</w:t>
      </w:r>
      <w:r w:rsidRPr="00D86F26">
        <w:rPr>
          <w:sz w:val="24"/>
          <w:szCs w:val="24"/>
        </w:rPr>
        <w:lastRenderedPageBreak/>
        <w:t>type identities were assigned using canonical marker expression and cross-checked against original study annotations. Annotation support was observed for 28 of 29 clusters. The perivascular cluster was retained despite borderline separation from stromal cells because it was biologically relevant and its annotation was documented in the annotation audit. A rare 87-cell cluster, predominantly contributed by one sample, was retained for transparency but was not used to support a standalone biological conclusion.</w:t>
      </w:r>
    </w:p>
    <w:p w14:paraId="67646003" w14:textId="05F2AFD6" w:rsidR="00D86F26" w:rsidRPr="00D86F26" w:rsidRDefault="00D86F26" w:rsidP="00FC1459">
      <w:pPr>
        <w:spacing w:before="100" w:beforeAutospacing="1" w:after="100" w:afterAutospacing="1"/>
        <w:jc w:val="both"/>
        <w:outlineLvl w:val="1"/>
        <w:rPr>
          <w:b/>
          <w:bCs/>
          <w:sz w:val="24"/>
          <w:szCs w:val="24"/>
        </w:rPr>
      </w:pPr>
      <w:r>
        <w:rPr>
          <w:rFonts w:hint="cs"/>
          <w:b/>
          <w:bCs/>
          <w:sz w:val="24"/>
          <w:szCs w:val="24"/>
          <w:rtl/>
        </w:rPr>
        <w:t>2</w:t>
      </w:r>
      <w:r w:rsidRPr="00D86F26">
        <w:rPr>
          <w:b/>
          <w:bCs/>
          <w:sz w:val="24"/>
          <w:szCs w:val="24"/>
        </w:rPr>
        <w:t xml:space="preserve">.10 Single cell </w:t>
      </w:r>
      <w:proofErr w:type="spellStart"/>
      <w:r w:rsidRPr="00D86F26">
        <w:rPr>
          <w:b/>
          <w:bCs/>
          <w:sz w:val="24"/>
          <w:szCs w:val="24"/>
        </w:rPr>
        <w:t>pseudobulk</w:t>
      </w:r>
      <w:proofErr w:type="spellEnd"/>
      <w:r w:rsidRPr="00D86F26">
        <w:rPr>
          <w:b/>
          <w:bCs/>
          <w:sz w:val="24"/>
          <w:szCs w:val="24"/>
        </w:rPr>
        <w:t xml:space="preserve"> localization</w:t>
      </w:r>
    </w:p>
    <w:p w14:paraId="10C43E04" w14:textId="77777777" w:rsidR="00D86F26" w:rsidRPr="00D86F26" w:rsidRDefault="00D86F26" w:rsidP="00FC1459">
      <w:pPr>
        <w:spacing w:before="100" w:beforeAutospacing="1" w:after="100" w:afterAutospacing="1"/>
        <w:jc w:val="both"/>
        <w:rPr>
          <w:sz w:val="24"/>
          <w:szCs w:val="24"/>
        </w:rPr>
      </w:pPr>
      <w:r w:rsidRPr="00D86F26">
        <w:rPr>
          <w:sz w:val="24"/>
          <w:szCs w:val="24"/>
        </w:rPr>
        <w:t xml:space="preserve">To assess the cellular distribution of functional-axis signals, single-cell expression values were aggregated into </w:t>
      </w:r>
      <w:proofErr w:type="spellStart"/>
      <w:r w:rsidRPr="00D86F26">
        <w:rPr>
          <w:sz w:val="24"/>
          <w:szCs w:val="24"/>
        </w:rPr>
        <w:t>pseudobulk</w:t>
      </w:r>
      <w:proofErr w:type="spellEnd"/>
      <w:r w:rsidRPr="00D86F26">
        <w:rPr>
          <w:sz w:val="24"/>
          <w:szCs w:val="24"/>
        </w:rPr>
        <w:t xml:space="preserve"> profiles at the sample-or-donor-by-lineage level. In the discovery localization stage, a minimum of 10 cells was required per </w:t>
      </w:r>
      <w:proofErr w:type="spellStart"/>
      <w:r w:rsidRPr="00D86F26">
        <w:rPr>
          <w:sz w:val="24"/>
          <w:szCs w:val="24"/>
        </w:rPr>
        <w:t>pseudobulk</w:t>
      </w:r>
      <w:proofErr w:type="spellEnd"/>
      <w:r w:rsidRPr="00D86F26">
        <w:rPr>
          <w:sz w:val="24"/>
          <w:szCs w:val="24"/>
        </w:rPr>
        <w:t xml:space="preserve"> profile. The sample or donor, rather than the individual cell, was treated as the statistical unit.</w:t>
      </w:r>
    </w:p>
    <w:p w14:paraId="538BDAA5" w14:textId="77777777" w:rsidR="00D86F26" w:rsidRPr="00D86F26" w:rsidRDefault="00D86F26" w:rsidP="00FC1459">
      <w:pPr>
        <w:spacing w:before="100" w:beforeAutospacing="1" w:after="100" w:afterAutospacing="1"/>
        <w:jc w:val="both"/>
        <w:rPr>
          <w:sz w:val="24"/>
          <w:szCs w:val="24"/>
        </w:rPr>
      </w:pPr>
      <w:r w:rsidRPr="00D86F26">
        <w:rPr>
          <w:sz w:val="24"/>
          <w:szCs w:val="24"/>
        </w:rPr>
        <w:t>Functional-axis genes were evaluated within each single-cell dataset using directional ectopic-versus-</w:t>
      </w:r>
      <w:proofErr w:type="spellStart"/>
      <w:r w:rsidRPr="00D86F26">
        <w:rPr>
          <w:sz w:val="24"/>
          <w:szCs w:val="24"/>
        </w:rPr>
        <w:t>eutopic</w:t>
      </w:r>
      <w:proofErr w:type="spellEnd"/>
      <w:r w:rsidRPr="00D86F26">
        <w:rPr>
          <w:sz w:val="24"/>
          <w:szCs w:val="24"/>
        </w:rPr>
        <w:t xml:space="preserve"> contrasts. </w:t>
      </w:r>
      <w:proofErr w:type="spellStart"/>
      <w:r w:rsidRPr="00D86F26">
        <w:rPr>
          <w:sz w:val="24"/>
          <w:szCs w:val="24"/>
        </w:rPr>
        <w:t>Pseudobulk</w:t>
      </w:r>
      <w:proofErr w:type="spellEnd"/>
      <w:r w:rsidRPr="00D86F26">
        <w:rPr>
          <w:sz w:val="24"/>
          <w:szCs w:val="24"/>
        </w:rPr>
        <w:t xml:space="preserve"> profiles were used as the primary localization framework to avoid treating individual cells as statistically independent observations. Directional localization was assessed using Wilcoxon rank-sum tests on patient-or-sample-level </w:t>
      </w:r>
      <w:proofErr w:type="spellStart"/>
      <w:r w:rsidRPr="00D86F26">
        <w:rPr>
          <w:sz w:val="24"/>
          <w:szCs w:val="24"/>
        </w:rPr>
        <w:t>pseudobulk</w:t>
      </w:r>
      <w:proofErr w:type="spellEnd"/>
      <w:r w:rsidRPr="00D86F26">
        <w:rPr>
          <w:sz w:val="24"/>
          <w:szCs w:val="24"/>
        </w:rPr>
        <w:t xml:space="preserve"> profiles. BH-FDR correction was applied within the relevant analytical family. Contrasts with fewer than four patients per arm were documented as not testable.</w:t>
      </w:r>
    </w:p>
    <w:p w14:paraId="374FD8D0" w14:textId="77777777" w:rsidR="00D86F26" w:rsidRPr="00D86F26" w:rsidRDefault="00D86F26" w:rsidP="00FC1459">
      <w:pPr>
        <w:spacing w:before="100" w:beforeAutospacing="1" w:after="100" w:afterAutospacing="1"/>
        <w:jc w:val="both"/>
        <w:rPr>
          <w:sz w:val="24"/>
          <w:szCs w:val="24"/>
        </w:rPr>
      </w:pPr>
      <w:r w:rsidRPr="00D86F26">
        <w:rPr>
          <w:sz w:val="24"/>
          <w:szCs w:val="24"/>
        </w:rPr>
        <w:t>The localization analysis yielded 715 measured axis-gene-by-lineage units across the three single-cell datasets. Of these, 21 passed BH-FDR &lt; 0.05, all within GSE214411. The SERPINE1 signal localized to endothelial and perivascular subclusters. This result was treated as a hypothesis-generating localization observation rather than independent confirmation of a vascular niche.</w:t>
      </w:r>
    </w:p>
    <w:p w14:paraId="0D3D7A7C" w14:textId="0619133D" w:rsidR="00D86F26" w:rsidRPr="00D86F26" w:rsidRDefault="00D86F26" w:rsidP="00FC1459">
      <w:pPr>
        <w:spacing w:before="100" w:beforeAutospacing="1" w:after="100" w:afterAutospacing="1"/>
        <w:jc w:val="both"/>
        <w:outlineLvl w:val="1"/>
        <w:rPr>
          <w:b/>
          <w:bCs/>
          <w:sz w:val="24"/>
          <w:szCs w:val="24"/>
        </w:rPr>
      </w:pPr>
      <w:r>
        <w:rPr>
          <w:rFonts w:hint="cs"/>
          <w:b/>
          <w:bCs/>
          <w:sz w:val="24"/>
          <w:szCs w:val="24"/>
          <w:rtl/>
        </w:rPr>
        <w:t>2</w:t>
      </w:r>
      <w:r w:rsidRPr="00D86F26">
        <w:rPr>
          <w:b/>
          <w:bCs/>
          <w:sz w:val="24"/>
          <w:szCs w:val="24"/>
        </w:rPr>
        <w:t>.11 Independent external validation</w:t>
      </w:r>
    </w:p>
    <w:p w14:paraId="0A908F23" w14:textId="77777777" w:rsidR="00D86F26" w:rsidRPr="00D86F26" w:rsidRDefault="00D86F26" w:rsidP="00FC1459">
      <w:pPr>
        <w:spacing w:before="100" w:beforeAutospacing="1" w:after="100" w:afterAutospacing="1"/>
        <w:jc w:val="both"/>
        <w:rPr>
          <w:sz w:val="24"/>
          <w:szCs w:val="24"/>
        </w:rPr>
      </w:pPr>
      <w:r w:rsidRPr="00D86F26">
        <w:rPr>
          <w:sz w:val="24"/>
          <w:szCs w:val="24"/>
        </w:rPr>
        <w:t>Independent external validation was performed in GSE213216, a single-cell atlas comprising 373,851 cells from 21 patients across five tissue classes (Fonseca et al., 2023). The dataset was reserved exclusively for validation and was not used during discovery, quality-control optimization, integration, or localization analyses. The author-processed atlas was subjected to a structural audit before use; no additional cell-level quality-control filtering was performed, and the original cell assignments were retained.</w:t>
      </w:r>
    </w:p>
    <w:p w14:paraId="66CFEC02" w14:textId="77777777" w:rsidR="00D86F26" w:rsidRPr="00D86F26" w:rsidRDefault="00D86F26" w:rsidP="00FC1459">
      <w:pPr>
        <w:spacing w:before="100" w:beforeAutospacing="1" w:after="100" w:afterAutospacing="1"/>
        <w:jc w:val="both"/>
        <w:rPr>
          <w:sz w:val="24"/>
          <w:szCs w:val="24"/>
        </w:rPr>
      </w:pPr>
      <w:r w:rsidRPr="00D86F26">
        <w:rPr>
          <w:sz w:val="24"/>
          <w:szCs w:val="24"/>
        </w:rPr>
        <w:t xml:space="preserve">Patient-by-lineage </w:t>
      </w:r>
      <w:proofErr w:type="spellStart"/>
      <w:r w:rsidRPr="00D86F26">
        <w:rPr>
          <w:sz w:val="24"/>
          <w:szCs w:val="24"/>
        </w:rPr>
        <w:t>pseudobulk</w:t>
      </w:r>
      <w:proofErr w:type="spellEnd"/>
      <w:r w:rsidRPr="00D86F26">
        <w:rPr>
          <w:sz w:val="24"/>
          <w:szCs w:val="24"/>
        </w:rPr>
        <w:t xml:space="preserve"> profiles were generated for external validation. A minimum of 20 cells was required per patient-by-lineage profile. The patient was treated as </w:t>
      </w:r>
      <w:proofErr w:type="gramStart"/>
      <w:r w:rsidRPr="00D86F26">
        <w:rPr>
          <w:sz w:val="24"/>
          <w:szCs w:val="24"/>
        </w:rPr>
        <w:t>the</w:t>
      </w:r>
      <w:proofErr w:type="gramEnd"/>
      <w:r w:rsidRPr="00D86F26">
        <w:rPr>
          <w:sz w:val="24"/>
          <w:szCs w:val="24"/>
        </w:rPr>
        <w:t xml:space="preserve"> statistical unit. For each contrast, a minimum of four patients per arm was required; </w:t>
      </w:r>
      <w:proofErr w:type="gramStart"/>
      <w:r w:rsidRPr="00D86F26">
        <w:rPr>
          <w:sz w:val="24"/>
          <w:szCs w:val="24"/>
        </w:rPr>
        <w:t>otherwise</w:t>
      </w:r>
      <w:proofErr w:type="gramEnd"/>
      <w:r w:rsidRPr="00D86F26">
        <w:rPr>
          <w:sz w:val="24"/>
          <w:szCs w:val="24"/>
        </w:rPr>
        <w:t xml:space="preserve"> the contrast was documented as not testable.</w:t>
      </w:r>
    </w:p>
    <w:p w14:paraId="519DEEB4" w14:textId="77777777" w:rsidR="00D86F26" w:rsidRPr="00D86F26" w:rsidRDefault="00D86F26" w:rsidP="00FC1459">
      <w:pPr>
        <w:spacing w:before="100" w:beforeAutospacing="1" w:after="100" w:afterAutospacing="1"/>
        <w:jc w:val="both"/>
        <w:rPr>
          <w:sz w:val="24"/>
          <w:szCs w:val="24"/>
        </w:rPr>
      </w:pPr>
      <w:r w:rsidRPr="00D86F26">
        <w:rPr>
          <w:sz w:val="24"/>
          <w:szCs w:val="24"/>
        </w:rPr>
        <w:t>The prespecified validation endpoints were the six locked pathway or axis scores, the SERPINE1 vascular-niche prediction, and the Tier-1 directional signature. The Tier-1 directional signature was calculated as:</w:t>
      </w:r>
    </w:p>
    <w:p w14:paraId="32DB5166" w14:textId="77777777" w:rsidR="00D86F26" w:rsidRPr="00D86F26" w:rsidRDefault="00000000" w:rsidP="00FC1459">
      <w:pPr>
        <w:jc w:val="both"/>
        <w:rPr>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Δ</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groupChr>
                <m:groupChrPr>
                  <m:chr m:val="‾"/>
                  <m:pos m:val="top"/>
                  <m:vertJc m:val="bot"/>
                  <m:ctrlPr>
                    <w:rPr>
                      <w:rFonts w:ascii="Cambria Math" w:hAnsi="Cambria Math"/>
                      <w:sz w:val="24"/>
                      <w:szCs w:val="24"/>
                    </w:rPr>
                  </m:ctrlPr>
                </m:groupChrPr>
                <m:e>
                  <m:r>
                    <w:rPr>
                      <w:rFonts w:ascii="Cambria Math" w:hAnsi="Cambria Math"/>
                      <w:sz w:val="24"/>
                      <w:szCs w:val="24"/>
                    </w:rPr>
                    <m:t>z</m:t>
                  </m:r>
                </m:e>
              </m:groupChr>
            </m:e>
            <m:sub>
              <m:r>
                <m:rPr>
                  <m:sty m:val="p"/>
                </m:rPr>
                <w:rPr>
                  <w:rFonts w:ascii="Cambria Math" w:hAnsi="Cambria Math"/>
                  <w:sz w:val="24"/>
                  <w:szCs w:val="24"/>
                </w:rPr>
                <m:t>up</m:t>
              </m:r>
              <m:d>
                <m:dPr>
                  <m:ctrlPr>
                    <w:rPr>
                      <w:rFonts w:ascii="Cambria Math" w:hAnsi="Cambria Math"/>
                      <w:sz w:val="24"/>
                      <w:szCs w:val="24"/>
                    </w:rPr>
                  </m:ctrlPr>
                </m:dPr>
                <m:e>
                  <m:r>
                    <w:rPr>
                      <w:rFonts w:ascii="Cambria Math" w:hAnsi="Cambria Math"/>
                      <w:sz w:val="24"/>
                      <w:szCs w:val="24"/>
                    </w:rPr>
                    <m:t>i</m:t>
                  </m:r>
                </m:e>
              </m:d>
            </m:sub>
          </m:sSub>
          <m:r>
            <w:rPr>
              <w:rFonts w:ascii="Cambria Math" w:hAnsi="Cambria Math"/>
              <w:sz w:val="24"/>
              <w:szCs w:val="24"/>
            </w:rPr>
            <m:t>-</m:t>
          </m:r>
          <m:sSub>
            <m:sSubPr>
              <m:ctrlPr>
                <w:rPr>
                  <w:rFonts w:ascii="Cambria Math" w:hAnsi="Cambria Math"/>
                  <w:sz w:val="24"/>
                  <w:szCs w:val="24"/>
                </w:rPr>
              </m:ctrlPr>
            </m:sSubPr>
            <m:e>
              <m:groupChr>
                <m:groupChrPr>
                  <m:chr m:val="‾"/>
                  <m:pos m:val="top"/>
                  <m:vertJc m:val="bot"/>
                  <m:ctrlPr>
                    <w:rPr>
                      <w:rFonts w:ascii="Cambria Math" w:hAnsi="Cambria Math"/>
                      <w:sz w:val="24"/>
                      <w:szCs w:val="24"/>
                    </w:rPr>
                  </m:ctrlPr>
                </m:groupChrPr>
                <m:e>
                  <m:r>
                    <w:rPr>
                      <w:rFonts w:ascii="Cambria Math" w:hAnsi="Cambria Math"/>
                      <w:sz w:val="24"/>
                      <w:szCs w:val="24"/>
                    </w:rPr>
                    <m:t>z</m:t>
                  </m:r>
                </m:e>
              </m:groupChr>
            </m:e>
            <m:sub>
              <m:r>
                <m:rPr>
                  <m:sty m:val="p"/>
                </m:rPr>
                <w:rPr>
                  <w:rFonts w:ascii="Cambria Math" w:hAnsi="Cambria Math"/>
                  <w:sz w:val="24"/>
                  <w:szCs w:val="24"/>
                </w:rPr>
                <m:t>down</m:t>
              </m:r>
              <m:d>
                <m:dPr>
                  <m:ctrlPr>
                    <w:rPr>
                      <w:rFonts w:ascii="Cambria Math" w:hAnsi="Cambria Math"/>
                      <w:sz w:val="24"/>
                      <w:szCs w:val="24"/>
                    </w:rPr>
                  </m:ctrlPr>
                </m:dPr>
                <m:e>
                  <m:r>
                    <w:rPr>
                      <w:rFonts w:ascii="Cambria Math" w:hAnsi="Cambria Math"/>
                      <w:sz w:val="24"/>
                      <w:szCs w:val="24"/>
                    </w:rPr>
                    <m:t>i</m:t>
                  </m:r>
                </m:e>
              </m:d>
            </m:sub>
          </m:sSub>
          <m:r>
            <w:rPr>
              <w:rFonts w:ascii="Cambria Math" w:hAnsi="Cambria Math"/>
              <w:sz w:val="24"/>
              <w:szCs w:val="24"/>
            </w:rPr>
            <m:t>,</m:t>
          </m:r>
          <m:r>
            <w:rPr>
              <w:rFonts w:ascii="Cambria Math" w:hAnsi="Cambria Math"/>
              <w:sz w:val="24"/>
              <w:szCs w:val="24"/>
            </w:rPr>
            <w:br/>
          </m:r>
        </m:oMath>
      </m:oMathPara>
    </w:p>
    <w:p w14:paraId="22CE8003" w14:textId="77777777" w:rsidR="00D86F26" w:rsidRPr="00D86F26" w:rsidRDefault="00D86F26" w:rsidP="00FC1459">
      <w:pPr>
        <w:spacing w:before="100" w:beforeAutospacing="1" w:after="100" w:afterAutospacing="1"/>
        <w:jc w:val="both"/>
        <w:rPr>
          <w:sz w:val="24"/>
          <w:szCs w:val="24"/>
        </w:rPr>
      </w:pPr>
      <w:r w:rsidRPr="00D86F26">
        <w:rPr>
          <w:sz w:val="24"/>
          <w:szCs w:val="24"/>
        </w:rPr>
        <w:t xml:space="preserve">where </w:t>
      </w:r>
      <m:oMath>
        <m:sSub>
          <m:sSubPr>
            <m:ctrlPr>
              <w:rPr>
                <w:rFonts w:ascii="Cambria Math" w:hAnsi="Cambria Math"/>
                <w:sz w:val="24"/>
                <w:szCs w:val="24"/>
              </w:rPr>
            </m:ctrlPr>
          </m:sSubPr>
          <m:e>
            <m:groupChr>
              <m:groupChrPr>
                <m:chr m:val="‾"/>
                <m:pos m:val="top"/>
                <m:vertJc m:val="bot"/>
                <m:ctrlPr>
                  <w:rPr>
                    <w:rFonts w:ascii="Cambria Math" w:hAnsi="Cambria Math"/>
                    <w:sz w:val="24"/>
                    <w:szCs w:val="24"/>
                  </w:rPr>
                </m:ctrlPr>
              </m:groupChrPr>
              <m:e>
                <m:r>
                  <w:rPr>
                    <w:rFonts w:ascii="Cambria Math" w:hAnsi="Cambria Math"/>
                    <w:sz w:val="24"/>
                    <w:szCs w:val="24"/>
                  </w:rPr>
                  <m:t>z</m:t>
                </m:r>
              </m:e>
            </m:groupChr>
          </m:e>
          <m:sub>
            <m:r>
              <m:rPr>
                <m:sty m:val="p"/>
              </m:rPr>
              <w:rPr>
                <w:rFonts w:ascii="Cambria Math" w:hAnsi="Cambria Math"/>
                <w:sz w:val="24"/>
                <w:szCs w:val="24"/>
              </w:rPr>
              <m:t>up</m:t>
            </m:r>
            <m:d>
              <m:dPr>
                <m:ctrlPr>
                  <w:rPr>
                    <w:rFonts w:ascii="Cambria Math" w:hAnsi="Cambria Math"/>
                    <w:sz w:val="24"/>
                    <w:szCs w:val="24"/>
                  </w:rPr>
                </m:ctrlPr>
              </m:dPr>
              <m:e>
                <m:r>
                  <w:rPr>
                    <w:rFonts w:ascii="Cambria Math" w:hAnsi="Cambria Math"/>
                    <w:sz w:val="24"/>
                    <w:szCs w:val="24"/>
                  </w:rPr>
                  <m:t>i</m:t>
                </m:r>
              </m:e>
            </m:d>
          </m:sub>
        </m:sSub>
      </m:oMath>
      <w:r w:rsidRPr="00D86F26">
        <w:rPr>
          <w:sz w:val="24"/>
          <w:szCs w:val="24"/>
        </w:rPr>
        <w:t xml:space="preserve">is the mean z-score of the 121 up-regulated Tier-1 genes and </w:t>
      </w:r>
      <m:oMath>
        <m:sSub>
          <m:sSubPr>
            <m:ctrlPr>
              <w:rPr>
                <w:rFonts w:ascii="Cambria Math" w:hAnsi="Cambria Math"/>
                <w:sz w:val="24"/>
                <w:szCs w:val="24"/>
              </w:rPr>
            </m:ctrlPr>
          </m:sSubPr>
          <m:e>
            <m:groupChr>
              <m:groupChrPr>
                <m:chr m:val="‾"/>
                <m:pos m:val="top"/>
                <m:vertJc m:val="bot"/>
                <m:ctrlPr>
                  <w:rPr>
                    <w:rFonts w:ascii="Cambria Math" w:hAnsi="Cambria Math"/>
                    <w:sz w:val="24"/>
                    <w:szCs w:val="24"/>
                  </w:rPr>
                </m:ctrlPr>
              </m:groupChrPr>
              <m:e>
                <m:r>
                  <w:rPr>
                    <w:rFonts w:ascii="Cambria Math" w:hAnsi="Cambria Math"/>
                    <w:sz w:val="24"/>
                    <w:szCs w:val="24"/>
                  </w:rPr>
                  <m:t>z</m:t>
                </m:r>
              </m:e>
            </m:groupChr>
          </m:e>
          <m:sub>
            <m:r>
              <m:rPr>
                <m:sty m:val="p"/>
              </m:rPr>
              <w:rPr>
                <w:rFonts w:ascii="Cambria Math" w:hAnsi="Cambria Math"/>
                <w:sz w:val="24"/>
                <w:szCs w:val="24"/>
              </w:rPr>
              <m:t>down</m:t>
            </m:r>
            <m:d>
              <m:dPr>
                <m:ctrlPr>
                  <w:rPr>
                    <w:rFonts w:ascii="Cambria Math" w:hAnsi="Cambria Math"/>
                    <w:sz w:val="24"/>
                    <w:szCs w:val="24"/>
                  </w:rPr>
                </m:ctrlPr>
              </m:dPr>
              <m:e>
                <m:r>
                  <w:rPr>
                    <w:rFonts w:ascii="Cambria Math" w:hAnsi="Cambria Math"/>
                    <w:sz w:val="24"/>
                    <w:szCs w:val="24"/>
                  </w:rPr>
                  <m:t>i</m:t>
                </m:r>
              </m:e>
            </m:d>
          </m:sub>
        </m:sSub>
      </m:oMath>
      <w:r w:rsidRPr="00D86F26">
        <w:rPr>
          <w:sz w:val="24"/>
          <w:szCs w:val="24"/>
        </w:rPr>
        <w:t xml:space="preserve">is the mean z-score of the 364 down-regulated Tier-1 genes for patient-by-lineage unit </w:t>
      </w:r>
      <m:oMath>
        <m:r>
          <w:rPr>
            <w:rFonts w:ascii="Cambria Math" w:hAnsi="Cambria Math"/>
            <w:sz w:val="24"/>
            <w:szCs w:val="24"/>
          </w:rPr>
          <m:t>i</m:t>
        </m:r>
      </m:oMath>
      <w:r w:rsidRPr="00D86F26">
        <w:rPr>
          <w:sz w:val="24"/>
          <w:szCs w:val="24"/>
        </w:rPr>
        <w:t>.</w:t>
      </w:r>
    </w:p>
    <w:p w14:paraId="6711B147" w14:textId="77777777" w:rsidR="00D86F26" w:rsidRPr="00D86F26" w:rsidRDefault="00D86F26" w:rsidP="00FC1459">
      <w:pPr>
        <w:spacing w:before="100" w:beforeAutospacing="1" w:after="100" w:afterAutospacing="1"/>
        <w:jc w:val="both"/>
        <w:rPr>
          <w:sz w:val="24"/>
          <w:szCs w:val="24"/>
        </w:rPr>
      </w:pPr>
      <w:r w:rsidRPr="00D86F26">
        <w:rPr>
          <w:sz w:val="24"/>
          <w:szCs w:val="24"/>
        </w:rPr>
        <w:lastRenderedPageBreak/>
        <w:t>Wilcoxon rank-sum tests were used for patient-level comparisons. All 195 planned validation tests were assigned to one BH-FDR family. Contrasts with fewer than four patients per arm were documented as not testable. A mandatory sensitivity analysis excluded patients contributing to both comparison arms, and the result was reported separately.</w:t>
      </w:r>
    </w:p>
    <w:p w14:paraId="2CCAE7DB" w14:textId="2AAF59A3" w:rsidR="00D86F26" w:rsidRPr="00D86F26" w:rsidRDefault="00D86F26" w:rsidP="00FC1459">
      <w:pPr>
        <w:spacing w:before="100" w:beforeAutospacing="1" w:after="100" w:afterAutospacing="1"/>
        <w:jc w:val="both"/>
        <w:outlineLvl w:val="1"/>
        <w:rPr>
          <w:b/>
          <w:bCs/>
          <w:sz w:val="24"/>
          <w:szCs w:val="24"/>
        </w:rPr>
      </w:pPr>
      <w:r>
        <w:rPr>
          <w:rFonts w:hint="cs"/>
          <w:b/>
          <w:bCs/>
          <w:sz w:val="24"/>
          <w:szCs w:val="24"/>
          <w:rtl/>
        </w:rPr>
        <w:t>2</w:t>
      </w:r>
      <w:r w:rsidRPr="00D86F26">
        <w:rPr>
          <w:b/>
          <w:bCs/>
          <w:sz w:val="24"/>
          <w:szCs w:val="24"/>
        </w:rPr>
        <w:t>.12 Exploratory endothelial-subcluster analysis</w:t>
      </w:r>
    </w:p>
    <w:p w14:paraId="7F2D8815" w14:textId="77777777" w:rsidR="00D86F26" w:rsidRPr="00D86F26" w:rsidRDefault="00D86F26" w:rsidP="00FC1459">
      <w:pPr>
        <w:spacing w:before="100" w:beforeAutospacing="1" w:after="100" w:afterAutospacing="1"/>
        <w:jc w:val="both"/>
        <w:rPr>
          <w:sz w:val="24"/>
          <w:szCs w:val="24"/>
        </w:rPr>
      </w:pPr>
      <w:r w:rsidRPr="00D86F26">
        <w:rPr>
          <w:sz w:val="24"/>
          <w:szCs w:val="24"/>
        </w:rPr>
        <w:t>An exploratory subcluster analysis assessed whether failure to replicate the SERPINE1 vascular-niche prediction at lineage resolution could be explained by dilution of a subcluster-restricted signal. This analysis was designated exploratory and was assigned to a separate multiple-testing family.</w:t>
      </w:r>
    </w:p>
    <w:p w14:paraId="10CA916E" w14:textId="77777777" w:rsidR="00D86F26" w:rsidRPr="00D86F26" w:rsidRDefault="00D86F26" w:rsidP="00FC1459">
      <w:pPr>
        <w:spacing w:before="100" w:beforeAutospacing="1" w:after="100" w:afterAutospacing="1"/>
        <w:jc w:val="both"/>
        <w:rPr>
          <w:sz w:val="24"/>
          <w:szCs w:val="24"/>
        </w:rPr>
      </w:pPr>
      <w:r w:rsidRPr="00D86F26">
        <w:rPr>
          <w:sz w:val="24"/>
          <w:szCs w:val="24"/>
        </w:rPr>
        <w:t>Eighteen endothelial subclusters were identified in GSE213216, containing 23,226 cells. Only two subclusters met the prespecified minimum patient requirement for testing. SERPINE1 was not enriched in either testable subcluster in the predicted direction. The result was reported as exploratory and did not support the dilution hypothesis.</w:t>
      </w:r>
    </w:p>
    <w:p w14:paraId="4639EFEB" w14:textId="5D778E6C" w:rsidR="00D86F26" w:rsidRPr="00D86F26" w:rsidRDefault="00D86F26" w:rsidP="00FC1459">
      <w:pPr>
        <w:spacing w:before="100" w:beforeAutospacing="1" w:after="100" w:afterAutospacing="1"/>
        <w:jc w:val="both"/>
        <w:outlineLvl w:val="1"/>
        <w:rPr>
          <w:b/>
          <w:bCs/>
          <w:sz w:val="24"/>
          <w:szCs w:val="24"/>
        </w:rPr>
      </w:pPr>
      <w:r>
        <w:rPr>
          <w:rFonts w:hint="cs"/>
          <w:b/>
          <w:bCs/>
          <w:sz w:val="24"/>
          <w:szCs w:val="24"/>
          <w:rtl/>
        </w:rPr>
        <w:t>2</w:t>
      </w:r>
      <w:r w:rsidRPr="00D86F26">
        <w:rPr>
          <w:b/>
          <w:bCs/>
          <w:sz w:val="24"/>
          <w:szCs w:val="24"/>
        </w:rPr>
        <w:t>.13 LINCS L1000 perturbational analysis</w:t>
      </w:r>
    </w:p>
    <w:p w14:paraId="37B5E4BC" w14:textId="77777777" w:rsidR="00D86F26" w:rsidRPr="00D86F26" w:rsidRDefault="00D86F26" w:rsidP="00FC1459">
      <w:pPr>
        <w:spacing w:before="100" w:beforeAutospacing="1" w:after="100" w:afterAutospacing="1"/>
        <w:jc w:val="both"/>
        <w:rPr>
          <w:sz w:val="24"/>
          <w:szCs w:val="24"/>
        </w:rPr>
      </w:pPr>
      <w:r w:rsidRPr="00D86F26">
        <w:rPr>
          <w:sz w:val="24"/>
          <w:szCs w:val="24"/>
        </w:rPr>
        <w:t xml:space="preserve">A connectivity-mapping stage based on the LINCS L1000 resource was specified in the analysis charter before data analysis. After the primary meta-analysis identified </w:t>
      </w:r>
      <w:r w:rsidRPr="00D86F26">
        <w:rPr>
          <w:b/>
          <w:bCs/>
          <w:sz w:val="24"/>
          <w:szCs w:val="24"/>
        </w:rPr>
        <w:t>SERPINE1</w:t>
      </w:r>
      <w:r w:rsidRPr="00D86F26">
        <w:rPr>
          <w:sz w:val="24"/>
          <w:szCs w:val="24"/>
        </w:rPr>
        <w:t xml:space="preserve"> as the only prespecified axis gene meeting Tier-1 criteria, SERPINE1 knockdown signatures were queried as a targeted loss-of-function proxy for PAI-1 perturbation. Because these gene-specific queries were defined after identification of SERPINE1 in the primary result, they were interpreted as hypothesis-generating rather than confirmatory.</w:t>
      </w:r>
    </w:p>
    <w:p w14:paraId="5814DC62" w14:textId="77777777" w:rsidR="00D86F26" w:rsidRPr="00D86F26" w:rsidRDefault="00D86F26" w:rsidP="00FC1459">
      <w:pPr>
        <w:spacing w:before="100" w:beforeAutospacing="1" w:after="100" w:afterAutospacing="1"/>
        <w:jc w:val="both"/>
        <w:rPr>
          <w:sz w:val="24"/>
          <w:szCs w:val="24"/>
        </w:rPr>
      </w:pPr>
      <w:r w:rsidRPr="00D86F26">
        <w:rPr>
          <w:sz w:val="24"/>
          <w:szCs w:val="24"/>
        </w:rPr>
        <w:t xml:space="preserve">Perturbation signatures were retrieved through the </w:t>
      </w:r>
      <w:proofErr w:type="spellStart"/>
      <w:r w:rsidRPr="00D86F26">
        <w:rPr>
          <w:sz w:val="24"/>
          <w:szCs w:val="24"/>
        </w:rPr>
        <w:t>iLINCS</w:t>
      </w:r>
      <w:proofErr w:type="spellEnd"/>
      <w:r w:rsidRPr="00D86F26">
        <w:rPr>
          <w:sz w:val="24"/>
          <w:szCs w:val="24"/>
        </w:rPr>
        <w:t xml:space="preserve"> application programming interface and cross-referenced with L1000 landmark-gene annotation from GSE92742. The L1000 landmark set comprised 978 genes within a broader annotation resource containing 12,328 genes. Of the 485 Tier-1 genes, 46 overlapped the L1000 landmark set. Of the 66 robust-core genes, 48 were represented in the broader L1000 annotation, and eight were directly measured as landmark genes: EGR1, FOS, CCND1, LYPLA1, PLA2G4A, GADD45B, NNT, and UGDH.</w:t>
      </w:r>
    </w:p>
    <w:p w14:paraId="33577E82" w14:textId="77777777" w:rsidR="00D86F26" w:rsidRPr="00D86F26" w:rsidRDefault="00D86F26" w:rsidP="00FC1459">
      <w:pPr>
        <w:spacing w:before="100" w:beforeAutospacing="1" w:after="100" w:afterAutospacing="1"/>
        <w:jc w:val="both"/>
        <w:rPr>
          <w:sz w:val="24"/>
          <w:szCs w:val="24"/>
        </w:rPr>
      </w:pPr>
      <w:r w:rsidRPr="00D86F26">
        <w:rPr>
          <w:sz w:val="24"/>
          <w:szCs w:val="24"/>
        </w:rPr>
        <w:t xml:space="preserve">SERPINE1 knockdown signatures were queried from the </w:t>
      </w:r>
      <w:r w:rsidRPr="00D86F26">
        <w:rPr>
          <w:rFonts w:ascii="Courier New" w:hAnsi="Courier New" w:cs="Courier New"/>
          <w:sz w:val="24"/>
          <w:szCs w:val="24"/>
        </w:rPr>
        <w:t>LIB_6</w:t>
      </w:r>
      <w:r w:rsidRPr="00D86F26">
        <w:rPr>
          <w:sz w:val="24"/>
          <w:szCs w:val="24"/>
        </w:rPr>
        <w:t xml:space="preserve"> </w:t>
      </w:r>
      <w:proofErr w:type="spellStart"/>
      <w:r w:rsidRPr="00D86F26">
        <w:rPr>
          <w:rFonts w:ascii="Courier New" w:hAnsi="Courier New" w:cs="Courier New"/>
          <w:sz w:val="24"/>
          <w:szCs w:val="24"/>
        </w:rPr>
        <w:t>trt_sh.cgs</w:t>
      </w:r>
      <w:proofErr w:type="spellEnd"/>
      <w:r w:rsidRPr="00D86F26">
        <w:rPr>
          <w:sz w:val="24"/>
          <w:szCs w:val="24"/>
        </w:rPr>
        <w:t xml:space="preserve"> collection at 96 hours across seven cell lines: HA1E, HEPG2, HT29, A375, MCF7, PC3, and A549. Each signature contained all 46 overlapping Tier-1 landmark genes.</w:t>
      </w:r>
    </w:p>
    <w:p w14:paraId="3E9D1213" w14:textId="77777777" w:rsidR="00D86F26" w:rsidRPr="00D86F26" w:rsidRDefault="00D86F26" w:rsidP="00FC1459">
      <w:pPr>
        <w:spacing w:before="100" w:beforeAutospacing="1" w:after="100" w:afterAutospacing="1"/>
        <w:jc w:val="both"/>
        <w:rPr>
          <w:sz w:val="24"/>
          <w:szCs w:val="24"/>
        </w:rPr>
      </w:pPr>
      <w:r w:rsidRPr="00D86F26">
        <w:rPr>
          <w:sz w:val="24"/>
          <w:szCs w:val="24"/>
        </w:rPr>
        <w:t xml:space="preserve">Estradiol perturbation signatures were obtained from the </w:t>
      </w:r>
      <w:r w:rsidRPr="00D86F26">
        <w:rPr>
          <w:rFonts w:ascii="Courier New" w:hAnsi="Courier New" w:cs="Courier New"/>
          <w:sz w:val="24"/>
          <w:szCs w:val="24"/>
        </w:rPr>
        <w:t>LIB_5</w:t>
      </w:r>
      <w:r w:rsidRPr="00D86F26">
        <w:rPr>
          <w:sz w:val="24"/>
          <w:szCs w:val="24"/>
        </w:rPr>
        <w:t xml:space="preserve"> </w:t>
      </w:r>
      <w:proofErr w:type="spellStart"/>
      <w:r w:rsidRPr="00D86F26">
        <w:rPr>
          <w:rFonts w:ascii="Courier New" w:hAnsi="Courier New" w:cs="Courier New"/>
          <w:sz w:val="24"/>
          <w:szCs w:val="24"/>
        </w:rPr>
        <w:t>trt_cp</w:t>
      </w:r>
      <w:proofErr w:type="spellEnd"/>
      <w:r w:rsidRPr="00D86F26">
        <w:rPr>
          <w:sz w:val="24"/>
          <w:szCs w:val="24"/>
        </w:rPr>
        <w:t xml:space="preserve"> collection. Of 136 source signatures across 14 cell lines, signatures were aggregated within each cell line using the </w:t>
      </w:r>
      <w:proofErr w:type="gramStart"/>
      <w:r w:rsidRPr="00D86F26">
        <w:rPr>
          <w:sz w:val="24"/>
          <w:szCs w:val="24"/>
        </w:rPr>
        <w:t>median</w:t>
      </w:r>
      <w:proofErr w:type="gramEnd"/>
      <w:r w:rsidRPr="00D86F26">
        <w:rPr>
          <w:sz w:val="24"/>
          <w:szCs w:val="24"/>
        </w:rPr>
        <w:t>, and cell lines with at least three signatures were retained. This yielded ten plotted cell lines: MCF7, VCAP, A549, HA1E, HCC515, HEPG2, HT29, PC3, A375, and NKDBA. FIBRNPC, NEU, NPC, and ASC were excluded because each contributed fewer than three signatures. Because MKI67 is not represented among the L1000 landmark genes, proliferation-related testing was restricted to TOP2A and PCNA.</w:t>
      </w:r>
    </w:p>
    <w:p w14:paraId="2ACB3C5E" w14:textId="77777777" w:rsidR="00D86F26" w:rsidRPr="00D86F26" w:rsidRDefault="00D86F26" w:rsidP="00FC1459">
      <w:pPr>
        <w:spacing w:before="100" w:beforeAutospacing="1" w:after="100" w:afterAutospacing="1"/>
        <w:jc w:val="both"/>
        <w:rPr>
          <w:sz w:val="24"/>
          <w:szCs w:val="24"/>
        </w:rPr>
      </w:pPr>
      <w:r w:rsidRPr="00D86F26">
        <w:rPr>
          <w:sz w:val="24"/>
          <w:szCs w:val="24"/>
        </w:rPr>
        <w:t xml:space="preserve">Directional reversal was quantified by Pearson correlation between each perturbation signature and the lesion-associated Tier-1 landmark signature. A negative correlation indicated that the perturbation signature moved in the opposite direction to the lesion-associated signature. For each hypothesis, directional consistency was assessed using a one-sided Wilcoxon signed-rank </w:t>
      </w:r>
      <w:r w:rsidRPr="00D86F26">
        <w:rPr>
          <w:sz w:val="24"/>
          <w:szCs w:val="24"/>
        </w:rPr>
        <w:lastRenderedPageBreak/>
        <w:t xml:space="preserve">test of cell-line-level correlation coefficients against zero. The four hypothesis-level p-values were corrected using the Benjamini–Hochberg procedure as a single multiple-testing family. Confirmation required the prespecified directional criterion and BH-FDR &lt; 0.05. Direct small-molecule PAI-1 inhibitors, including </w:t>
      </w:r>
      <w:proofErr w:type="spellStart"/>
      <w:r w:rsidRPr="00D86F26">
        <w:rPr>
          <w:sz w:val="24"/>
          <w:szCs w:val="24"/>
        </w:rPr>
        <w:t>tiplaxtinin</w:t>
      </w:r>
      <w:proofErr w:type="spellEnd"/>
      <w:r w:rsidRPr="00D86F26">
        <w:rPr>
          <w:sz w:val="24"/>
          <w:szCs w:val="24"/>
        </w:rPr>
        <w:t>, TM5441, and PAI-039, were not represented in the queried resource.</w:t>
      </w:r>
    </w:p>
    <w:p w14:paraId="51D7B757" w14:textId="605DE2C4" w:rsidR="00D86F26" w:rsidRPr="00D86F26" w:rsidRDefault="00D86F26" w:rsidP="00FC1459">
      <w:pPr>
        <w:spacing w:before="100" w:beforeAutospacing="1" w:after="100" w:afterAutospacing="1"/>
        <w:jc w:val="both"/>
        <w:outlineLvl w:val="1"/>
        <w:rPr>
          <w:b/>
          <w:bCs/>
          <w:sz w:val="24"/>
          <w:szCs w:val="24"/>
        </w:rPr>
      </w:pPr>
      <w:r>
        <w:rPr>
          <w:rFonts w:hint="cs"/>
          <w:b/>
          <w:bCs/>
          <w:sz w:val="24"/>
          <w:szCs w:val="24"/>
          <w:rtl/>
        </w:rPr>
        <w:t>2</w:t>
      </w:r>
      <w:r w:rsidRPr="00D86F26">
        <w:rPr>
          <w:b/>
          <w:bCs/>
          <w:sz w:val="24"/>
          <w:szCs w:val="24"/>
        </w:rPr>
        <w:t>.14 Exploratory decidualization-response analysis</w:t>
      </w:r>
    </w:p>
    <w:p w14:paraId="5BA17299" w14:textId="77777777" w:rsidR="00D86F26" w:rsidRPr="00D86F26" w:rsidRDefault="00D86F26" w:rsidP="00FC1459">
      <w:pPr>
        <w:spacing w:before="100" w:beforeAutospacing="1" w:after="100" w:afterAutospacing="1"/>
        <w:jc w:val="both"/>
        <w:rPr>
          <w:sz w:val="24"/>
          <w:szCs w:val="24"/>
        </w:rPr>
      </w:pPr>
      <w:r w:rsidRPr="00D86F26">
        <w:rPr>
          <w:sz w:val="24"/>
          <w:szCs w:val="24"/>
        </w:rPr>
        <w:t xml:space="preserve">A GEO search was conducted to identify human expression datasets evaluating established endometriosis therapies. No eligible human in-vivo expression cohort was identified for danazol, GnRH analogues or leuprolide, norethindrone, or </w:t>
      </w:r>
      <w:proofErr w:type="spellStart"/>
      <w:r w:rsidRPr="00D86F26">
        <w:rPr>
          <w:sz w:val="24"/>
          <w:szCs w:val="24"/>
        </w:rPr>
        <w:t>gestrinone</w:t>
      </w:r>
      <w:proofErr w:type="spellEnd"/>
      <w:r w:rsidRPr="00D86F26">
        <w:rPr>
          <w:sz w:val="24"/>
          <w:szCs w:val="24"/>
        </w:rPr>
        <w:t xml:space="preserve"> under the predefined census criteria. The remaining testable datasets, GSE75423 and GSE75425, were </w:t>
      </w:r>
      <w:proofErr w:type="spellStart"/>
      <w:r w:rsidRPr="00D86F26">
        <w:rPr>
          <w:sz w:val="24"/>
          <w:szCs w:val="24"/>
        </w:rPr>
        <w:t>analysed</w:t>
      </w:r>
      <w:proofErr w:type="spellEnd"/>
      <w:r w:rsidRPr="00D86F26">
        <w:rPr>
          <w:sz w:val="24"/>
          <w:szCs w:val="24"/>
        </w:rPr>
        <w:t xml:space="preserve"> as explicitly exploratory in-vitro series without a confirmatory multiple-testing threshold.</w:t>
      </w:r>
    </w:p>
    <w:p w14:paraId="5BB64A4C" w14:textId="77777777" w:rsidR="00D86F26" w:rsidRPr="00D86F26" w:rsidRDefault="00D86F26" w:rsidP="00FC1459">
      <w:pPr>
        <w:spacing w:before="100" w:beforeAutospacing="1" w:after="100" w:afterAutospacing="1"/>
        <w:jc w:val="both"/>
        <w:rPr>
          <w:sz w:val="24"/>
          <w:szCs w:val="24"/>
        </w:rPr>
      </w:pPr>
      <w:r w:rsidRPr="00D86F26">
        <w:rPr>
          <w:sz w:val="24"/>
          <w:szCs w:val="24"/>
        </w:rPr>
        <w:t xml:space="preserve">GSE75423 contained endometriotic cyst stromal cells and GSE75425 contained normal endometrial stromal cells. Both datasets were generated on the Agilent GPL13497 platform and included four donor-matched pairs of non-decidualized and decidualized cells, yielding eight samples per dataset. Decidualization was induced by culture for 12 days with 0.5 mM </w:t>
      </w:r>
      <w:proofErr w:type="spellStart"/>
      <w:r w:rsidRPr="00D86F26">
        <w:rPr>
          <w:sz w:val="24"/>
          <w:szCs w:val="24"/>
        </w:rPr>
        <w:t>dibutyryl</w:t>
      </w:r>
      <w:proofErr w:type="spellEnd"/>
      <w:r w:rsidRPr="00D86F26">
        <w:rPr>
          <w:sz w:val="24"/>
          <w:szCs w:val="24"/>
        </w:rPr>
        <w:t xml:space="preserve">-cAMP and 100 </w:t>
      </w:r>
      <w:proofErr w:type="spellStart"/>
      <w:r w:rsidRPr="00D86F26">
        <w:rPr>
          <w:sz w:val="24"/>
          <w:szCs w:val="24"/>
        </w:rPr>
        <w:t>nM</w:t>
      </w:r>
      <w:proofErr w:type="spellEnd"/>
      <w:r w:rsidRPr="00D86F26">
        <w:rPr>
          <w:sz w:val="24"/>
          <w:szCs w:val="24"/>
        </w:rPr>
        <w:t xml:space="preserve"> </w:t>
      </w:r>
      <w:proofErr w:type="spellStart"/>
      <w:r w:rsidRPr="00D86F26">
        <w:rPr>
          <w:sz w:val="24"/>
          <w:szCs w:val="24"/>
        </w:rPr>
        <w:t>dienogest</w:t>
      </w:r>
      <w:proofErr w:type="spellEnd"/>
      <w:r w:rsidRPr="00D86F26">
        <w:rPr>
          <w:sz w:val="24"/>
          <w:szCs w:val="24"/>
        </w:rPr>
        <w:t xml:space="preserve"> in 10% charcoal-stripped, heat-inactivated fetal bovine serum (Aoyagi et al., 2016).</w:t>
      </w:r>
    </w:p>
    <w:p w14:paraId="7B4D22F7" w14:textId="77777777" w:rsidR="00D86F26" w:rsidRPr="00D86F26" w:rsidRDefault="00D86F26" w:rsidP="00FC1459">
      <w:pPr>
        <w:spacing w:before="100" w:beforeAutospacing="1" w:after="100" w:afterAutospacing="1"/>
        <w:jc w:val="both"/>
        <w:rPr>
          <w:sz w:val="24"/>
          <w:szCs w:val="24"/>
        </w:rPr>
      </w:pPr>
      <w:r w:rsidRPr="00D86F26">
        <w:rPr>
          <w:sz w:val="24"/>
          <w:szCs w:val="24"/>
        </w:rPr>
        <w:t>Paired decidualized-versus-non-decidualized log2 fold changes were calculated separately for endometriotic cyst stromal cells and normal endometrial stromal cells. These treatment effects were compared with primary Tier-1 meta-analytic log2 fold-change estimates across the 290 Tier-1 genes represented on the Agilent platform. Pearson correlation coefficients were calculated separately for each cell type. Uncertainty was quantified using 2,000 gene-level bootstrap resamples, a fixed random seed of 42, and percentile-based 95% confidence intervals.</w:t>
      </w:r>
    </w:p>
    <w:p w14:paraId="59436A5F" w14:textId="77777777" w:rsidR="00D86F26" w:rsidRPr="00D86F26" w:rsidRDefault="00D86F26" w:rsidP="00FC1459">
      <w:pPr>
        <w:spacing w:before="100" w:beforeAutospacing="1" w:after="100" w:afterAutospacing="1"/>
        <w:jc w:val="both"/>
        <w:rPr>
          <w:sz w:val="24"/>
          <w:szCs w:val="24"/>
        </w:rPr>
      </w:pPr>
      <w:r w:rsidRPr="00D86F26">
        <w:rPr>
          <w:sz w:val="24"/>
          <w:szCs w:val="24"/>
        </w:rPr>
        <w:t xml:space="preserve">Because the intervention combined </w:t>
      </w:r>
      <w:proofErr w:type="spellStart"/>
      <w:r w:rsidRPr="00D86F26">
        <w:rPr>
          <w:sz w:val="24"/>
          <w:szCs w:val="24"/>
        </w:rPr>
        <w:t>dienogest</w:t>
      </w:r>
      <w:proofErr w:type="spellEnd"/>
      <w:r w:rsidRPr="00D86F26">
        <w:rPr>
          <w:sz w:val="24"/>
          <w:szCs w:val="24"/>
        </w:rPr>
        <w:t xml:space="preserve"> with </w:t>
      </w:r>
      <w:proofErr w:type="spellStart"/>
      <w:r w:rsidRPr="00D86F26">
        <w:rPr>
          <w:sz w:val="24"/>
          <w:szCs w:val="24"/>
        </w:rPr>
        <w:t>dibutyryl</w:t>
      </w:r>
      <w:proofErr w:type="spellEnd"/>
      <w:r w:rsidRPr="00D86F26">
        <w:rPr>
          <w:sz w:val="24"/>
          <w:szCs w:val="24"/>
        </w:rPr>
        <w:t xml:space="preserve">-cAMP to induce decidualization, the resulting transcriptional effects cannot be attributed to </w:t>
      </w:r>
      <w:proofErr w:type="spellStart"/>
      <w:r w:rsidRPr="00D86F26">
        <w:rPr>
          <w:sz w:val="24"/>
          <w:szCs w:val="24"/>
        </w:rPr>
        <w:t>dienogest</w:t>
      </w:r>
      <w:proofErr w:type="spellEnd"/>
      <w:r w:rsidRPr="00D86F26">
        <w:rPr>
          <w:sz w:val="24"/>
          <w:szCs w:val="24"/>
        </w:rPr>
        <w:t xml:space="preserve"> alone. The analysis was therefore interpreted as a test of whether the lesion-associated signature was directionally opposed by this in-vitro decidualization condition, rather than as a direct pharmacological test of </w:t>
      </w:r>
      <w:proofErr w:type="spellStart"/>
      <w:r w:rsidRPr="00D86F26">
        <w:rPr>
          <w:sz w:val="24"/>
          <w:szCs w:val="24"/>
        </w:rPr>
        <w:t>dienogest</w:t>
      </w:r>
      <w:proofErr w:type="spellEnd"/>
      <w:r w:rsidRPr="00D86F26">
        <w:rPr>
          <w:sz w:val="24"/>
          <w:szCs w:val="24"/>
        </w:rPr>
        <w:t xml:space="preserve"> monotherapy.</w:t>
      </w:r>
    </w:p>
    <w:p w14:paraId="0A54961B" w14:textId="57E6E216" w:rsidR="00D86F26" w:rsidRPr="00D86F26" w:rsidRDefault="00D86F26" w:rsidP="00FC1459">
      <w:pPr>
        <w:spacing w:before="100" w:beforeAutospacing="1" w:after="100" w:afterAutospacing="1"/>
        <w:jc w:val="both"/>
        <w:outlineLvl w:val="1"/>
        <w:rPr>
          <w:b/>
          <w:bCs/>
          <w:sz w:val="24"/>
          <w:szCs w:val="24"/>
        </w:rPr>
      </w:pPr>
      <w:r>
        <w:rPr>
          <w:rFonts w:hint="cs"/>
          <w:b/>
          <w:bCs/>
          <w:sz w:val="24"/>
          <w:szCs w:val="24"/>
          <w:rtl/>
        </w:rPr>
        <w:t>2</w:t>
      </w:r>
      <w:r w:rsidRPr="00D86F26">
        <w:rPr>
          <w:b/>
          <w:bCs/>
          <w:sz w:val="24"/>
          <w:szCs w:val="24"/>
        </w:rPr>
        <w:t>.15 Statistical software and reproducibility</w:t>
      </w:r>
    </w:p>
    <w:p w14:paraId="67A034D1" w14:textId="30E3AC83" w:rsidR="00D86F26" w:rsidRPr="00D86F26" w:rsidRDefault="00D86F26" w:rsidP="00FC1459">
      <w:pPr>
        <w:spacing w:before="100" w:beforeAutospacing="1" w:after="100" w:afterAutospacing="1"/>
        <w:jc w:val="both"/>
        <w:rPr>
          <w:sz w:val="24"/>
          <w:szCs w:val="24"/>
        </w:rPr>
      </w:pPr>
      <w:r w:rsidRPr="00D86F26">
        <w:rPr>
          <w:sz w:val="24"/>
          <w:szCs w:val="24"/>
        </w:rPr>
        <w:t xml:space="preserve">All analyses were performed </w:t>
      </w:r>
      <w:proofErr w:type="gramStart"/>
      <w:r w:rsidRPr="00D86F26">
        <w:rPr>
          <w:sz w:val="24"/>
          <w:szCs w:val="24"/>
        </w:rPr>
        <w:t>in</w:t>
      </w:r>
      <w:proofErr w:type="gramEnd"/>
      <w:r w:rsidRPr="00D86F26">
        <w:rPr>
          <w:sz w:val="24"/>
          <w:szCs w:val="24"/>
        </w:rPr>
        <w:t xml:space="preserve"> R 4.6.1 with Bioconductor 3.23. The complete computational environment was frozen using </w:t>
      </w:r>
      <w:proofErr w:type="spellStart"/>
      <w:r w:rsidRPr="00D86F26">
        <w:rPr>
          <w:rFonts w:ascii="Courier New" w:hAnsi="Courier New" w:cs="Courier New"/>
          <w:sz w:val="24"/>
          <w:szCs w:val="24"/>
        </w:rPr>
        <w:t>renv</w:t>
      </w:r>
      <w:proofErr w:type="spellEnd"/>
      <w:r w:rsidRPr="00D86F26">
        <w:rPr>
          <w:sz w:val="24"/>
          <w:szCs w:val="24"/>
        </w:rPr>
        <w:t xml:space="preserve">. Key packages included Seurat 5.5.1 and </w:t>
      </w:r>
      <w:proofErr w:type="spellStart"/>
      <w:r w:rsidRPr="00D86F26">
        <w:rPr>
          <w:sz w:val="24"/>
          <w:szCs w:val="24"/>
        </w:rPr>
        <w:t>SeuratObject</w:t>
      </w:r>
      <w:proofErr w:type="spellEnd"/>
      <w:r w:rsidRPr="00D86F26">
        <w:rPr>
          <w:sz w:val="24"/>
          <w:szCs w:val="24"/>
        </w:rPr>
        <w:t xml:space="preserve"> 5.4.0 for single-cell analysis, </w:t>
      </w:r>
      <w:proofErr w:type="spellStart"/>
      <w:r w:rsidRPr="00D86F26">
        <w:rPr>
          <w:sz w:val="24"/>
          <w:szCs w:val="24"/>
        </w:rPr>
        <w:t>edgeR</w:t>
      </w:r>
      <w:proofErr w:type="spellEnd"/>
      <w:r w:rsidRPr="00D86F26">
        <w:rPr>
          <w:sz w:val="24"/>
          <w:szCs w:val="24"/>
        </w:rPr>
        <w:t xml:space="preserve"> 4.10.5 and </w:t>
      </w:r>
      <w:proofErr w:type="spellStart"/>
      <w:r w:rsidRPr="00D86F26">
        <w:rPr>
          <w:sz w:val="24"/>
          <w:szCs w:val="24"/>
        </w:rPr>
        <w:t>limma</w:t>
      </w:r>
      <w:proofErr w:type="spellEnd"/>
      <w:r w:rsidRPr="00D86F26">
        <w:rPr>
          <w:sz w:val="24"/>
          <w:szCs w:val="24"/>
        </w:rPr>
        <w:t xml:space="preserve"> for bulk transcriptomic analysis, GSVA 2.6.6 for pathway scoring, </w:t>
      </w:r>
      <w:proofErr w:type="spellStart"/>
      <w:r w:rsidRPr="00D86F26">
        <w:rPr>
          <w:sz w:val="24"/>
          <w:szCs w:val="24"/>
        </w:rPr>
        <w:t>GEOquery</w:t>
      </w:r>
      <w:proofErr w:type="spellEnd"/>
      <w:r w:rsidRPr="00D86F26">
        <w:rPr>
          <w:sz w:val="24"/>
          <w:szCs w:val="24"/>
        </w:rPr>
        <w:t xml:space="preserve"> 2.80.0 for data retrieval, and </w:t>
      </w:r>
      <w:proofErr w:type="spellStart"/>
      <w:r w:rsidRPr="00D86F26">
        <w:rPr>
          <w:sz w:val="24"/>
          <w:szCs w:val="24"/>
        </w:rPr>
        <w:t>affy</w:t>
      </w:r>
      <w:proofErr w:type="spellEnd"/>
      <w:r w:rsidRPr="00D86F26">
        <w:rPr>
          <w:sz w:val="24"/>
          <w:szCs w:val="24"/>
        </w:rPr>
        <w:t xml:space="preserve">, </w:t>
      </w:r>
      <w:proofErr w:type="spellStart"/>
      <w:r w:rsidRPr="00D86F26">
        <w:rPr>
          <w:sz w:val="24"/>
          <w:szCs w:val="24"/>
        </w:rPr>
        <w:t>affyPLM</w:t>
      </w:r>
      <w:proofErr w:type="spellEnd"/>
      <w:r w:rsidRPr="00D86F26">
        <w:rPr>
          <w:sz w:val="24"/>
          <w:szCs w:val="24"/>
        </w:rPr>
        <w:t xml:space="preserve">, and </w:t>
      </w:r>
      <w:proofErr w:type="spellStart"/>
      <w:r w:rsidRPr="00D86F26">
        <w:rPr>
          <w:sz w:val="24"/>
          <w:szCs w:val="24"/>
        </w:rPr>
        <w:t>gcrma</w:t>
      </w:r>
      <w:proofErr w:type="spellEnd"/>
      <w:r w:rsidRPr="00D86F26">
        <w:rPr>
          <w:sz w:val="24"/>
          <w:szCs w:val="24"/>
        </w:rPr>
        <w:t xml:space="preserve"> for Affymetrix processing. Raw single-cell archives were processed using HDF5-backed on-disk representations because of dataset scale.</w:t>
      </w:r>
      <w:r>
        <w:rPr>
          <w:rFonts w:hint="cs"/>
          <w:sz w:val="24"/>
          <w:szCs w:val="24"/>
          <w:rtl/>
        </w:rPr>
        <w:t xml:space="preserve"> </w:t>
      </w:r>
      <w:r w:rsidRPr="00D86F26">
        <w:rPr>
          <w:sz w:val="24"/>
          <w:szCs w:val="24"/>
        </w:rPr>
        <w:t>Every analytical stage was implemented in versioned scripts. Fixed random seeds were recorded for stochastic procedures. Input and output files were tracked using MD5 checksums, and all figures were generated from locked result files by a single figure-generation script. The reproducibility record includes the analysis charter and dated amendments, dataset manifest, checksum registry, locked contrast definitions, input/output registries, and locked result tables.</w:t>
      </w:r>
    </w:p>
    <w:p w14:paraId="08171F47" w14:textId="6E16AFA0" w:rsidR="00D86F26" w:rsidRPr="00D86F26" w:rsidRDefault="00D86F26" w:rsidP="00FC1459">
      <w:pPr>
        <w:spacing w:before="100" w:beforeAutospacing="1" w:after="100" w:afterAutospacing="1"/>
        <w:jc w:val="both"/>
        <w:outlineLvl w:val="1"/>
        <w:rPr>
          <w:b/>
          <w:bCs/>
          <w:sz w:val="24"/>
          <w:szCs w:val="24"/>
        </w:rPr>
      </w:pPr>
      <w:r>
        <w:rPr>
          <w:rFonts w:hint="cs"/>
          <w:b/>
          <w:bCs/>
          <w:sz w:val="24"/>
          <w:szCs w:val="24"/>
          <w:rtl/>
        </w:rPr>
        <w:t>2</w:t>
      </w:r>
      <w:r w:rsidRPr="00D86F26">
        <w:rPr>
          <w:b/>
          <w:bCs/>
          <w:sz w:val="24"/>
          <w:szCs w:val="24"/>
        </w:rPr>
        <w:t>.16 Multiple-testing framework</w:t>
      </w:r>
    </w:p>
    <w:p w14:paraId="7A17A91A" w14:textId="77777777" w:rsidR="00D86F26" w:rsidRPr="00D86F26" w:rsidRDefault="00D86F26" w:rsidP="00FC1459">
      <w:pPr>
        <w:spacing w:before="100" w:beforeAutospacing="1" w:after="100" w:afterAutospacing="1"/>
        <w:jc w:val="both"/>
        <w:rPr>
          <w:sz w:val="24"/>
          <w:szCs w:val="24"/>
        </w:rPr>
      </w:pPr>
      <w:r w:rsidRPr="00D86F26">
        <w:rPr>
          <w:sz w:val="24"/>
          <w:szCs w:val="24"/>
        </w:rPr>
        <w:lastRenderedPageBreak/>
        <w:t>Multiple-testing correction was applied within prespecified, non-overlapping analytical families. No p-value was transferred between families, and no post hoc test was added after result inspection.</w:t>
      </w:r>
    </w:p>
    <w:tbl>
      <w:tblPr>
        <w:tblStyle w:val="TableGridLight"/>
        <w:tblW w:w="0" w:type="auto"/>
        <w:tblLook w:val="04A0" w:firstRow="1" w:lastRow="0" w:firstColumn="1" w:lastColumn="0" w:noHBand="0" w:noVBand="1"/>
      </w:tblPr>
      <w:tblGrid>
        <w:gridCol w:w="2803"/>
        <w:gridCol w:w="2339"/>
        <w:gridCol w:w="2325"/>
        <w:gridCol w:w="1549"/>
      </w:tblGrid>
      <w:tr w:rsidR="00D86F26" w:rsidRPr="00D86F26" w14:paraId="07C49C41" w14:textId="77777777" w:rsidTr="00D86F26">
        <w:tc>
          <w:tcPr>
            <w:tcW w:w="0" w:type="auto"/>
            <w:hideMark/>
          </w:tcPr>
          <w:p w14:paraId="78BF4121" w14:textId="77777777" w:rsidR="00D86F26" w:rsidRPr="00D86F26" w:rsidRDefault="00D86F26" w:rsidP="00FC1459">
            <w:pPr>
              <w:jc w:val="both"/>
              <w:rPr>
                <w:b/>
                <w:bCs/>
                <w:sz w:val="24"/>
                <w:szCs w:val="24"/>
              </w:rPr>
            </w:pPr>
            <w:r w:rsidRPr="00D86F26">
              <w:rPr>
                <w:b/>
                <w:bCs/>
                <w:sz w:val="24"/>
                <w:szCs w:val="24"/>
              </w:rPr>
              <w:t>Analysis stage</w:t>
            </w:r>
          </w:p>
        </w:tc>
        <w:tc>
          <w:tcPr>
            <w:tcW w:w="0" w:type="auto"/>
            <w:hideMark/>
          </w:tcPr>
          <w:p w14:paraId="5C328466" w14:textId="77777777" w:rsidR="00D86F26" w:rsidRPr="00D86F26" w:rsidRDefault="00D86F26" w:rsidP="00FC1459">
            <w:pPr>
              <w:jc w:val="both"/>
              <w:rPr>
                <w:b/>
                <w:bCs/>
                <w:sz w:val="24"/>
                <w:szCs w:val="24"/>
              </w:rPr>
            </w:pPr>
            <w:r w:rsidRPr="00D86F26">
              <w:rPr>
                <w:b/>
                <w:bCs/>
                <w:sz w:val="24"/>
                <w:szCs w:val="24"/>
              </w:rPr>
              <w:t>Tests in family</w:t>
            </w:r>
          </w:p>
        </w:tc>
        <w:tc>
          <w:tcPr>
            <w:tcW w:w="0" w:type="auto"/>
            <w:hideMark/>
          </w:tcPr>
          <w:p w14:paraId="190E2F2C" w14:textId="77777777" w:rsidR="00D86F26" w:rsidRPr="00D86F26" w:rsidRDefault="00D86F26" w:rsidP="00FC1459">
            <w:pPr>
              <w:jc w:val="both"/>
              <w:rPr>
                <w:b/>
                <w:bCs/>
                <w:sz w:val="24"/>
                <w:szCs w:val="24"/>
              </w:rPr>
            </w:pPr>
            <w:r w:rsidRPr="00D86F26">
              <w:rPr>
                <w:b/>
                <w:bCs/>
                <w:sz w:val="24"/>
                <w:szCs w:val="24"/>
              </w:rPr>
              <w:t>Multiple-testing method</w:t>
            </w:r>
          </w:p>
        </w:tc>
        <w:tc>
          <w:tcPr>
            <w:tcW w:w="0" w:type="auto"/>
            <w:hideMark/>
          </w:tcPr>
          <w:p w14:paraId="503476F6" w14:textId="77777777" w:rsidR="00D86F26" w:rsidRPr="00D86F26" w:rsidRDefault="00D86F26" w:rsidP="00FC1459">
            <w:pPr>
              <w:jc w:val="both"/>
              <w:rPr>
                <w:b/>
                <w:bCs/>
                <w:sz w:val="24"/>
                <w:szCs w:val="24"/>
              </w:rPr>
            </w:pPr>
            <w:r w:rsidRPr="00D86F26">
              <w:rPr>
                <w:b/>
                <w:bCs/>
                <w:sz w:val="24"/>
                <w:szCs w:val="24"/>
              </w:rPr>
              <w:t>Claim threshold</w:t>
            </w:r>
          </w:p>
        </w:tc>
      </w:tr>
      <w:tr w:rsidR="00D86F26" w:rsidRPr="00D86F26" w14:paraId="607F9446" w14:textId="77777777" w:rsidTr="00D86F26">
        <w:tc>
          <w:tcPr>
            <w:tcW w:w="0" w:type="auto"/>
            <w:hideMark/>
          </w:tcPr>
          <w:p w14:paraId="1CAB17C6" w14:textId="77777777" w:rsidR="00D86F26" w:rsidRPr="00D86F26" w:rsidRDefault="00D86F26" w:rsidP="00FC1459">
            <w:pPr>
              <w:jc w:val="both"/>
              <w:rPr>
                <w:sz w:val="24"/>
                <w:szCs w:val="24"/>
              </w:rPr>
            </w:pPr>
            <w:r w:rsidRPr="00D86F26">
              <w:rPr>
                <w:sz w:val="24"/>
                <w:szCs w:val="24"/>
              </w:rPr>
              <w:t>Primary gene-level meta-analysis</w:t>
            </w:r>
          </w:p>
        </w:tc>
        <w:tc>
          <w:tcPr>
            <w:tcW w:w="0" w:type="auto"/>
            <w:hideMark/>
          </w:tcPr>
          <w:p w14:paraId="6ABBB635" w14:textId="77777777" w:rsidR="00D86F26" w:rsidRPr="00D86F26" w:rsidRDefault="00D86F26" w:rsidP="00FC1459">
            <w:pPr>
              <w:jc w:val="both"/>
              <w:rPr>
                <w:sz w:val="24"/>
                <w:szCs w:val="24"/>
              </w:rPr>
            </w:pPr>
            <w:r w:rsidRPr="00D86F26">
              <w:rPr>
                <w:sz w:val="24"/>
                <w:szCs w:val="24"/>
              </w:rPr>
              <w:t>21,355 genes</w:t>
            </w:r>
          </w:p>
        </w:tc>
        <w:tc>
          <w:tcPr>
            <w:tcW w:w="0" w:type="auto"/>
            <w:hideMark/>
          </w:tcPr>
          <w:p w14:paraId="3E4A00B2" w14:textId="77777777" w:rsidR="00D86F26" w:rsidRPr="00D86F26" w:rsidRDefault="00D86F26" w:rsidP="00FC1459">
            <w:pPr>
              <w:jc w:val="both"/>
              <w:rPr>
                <w:sz w:val="24"/>
                <w:szCs w:val="24"/>
              </w:rPr>
            </w:pPr>
            <w:r w:rsidRPr="00D86F26">
              <w:rPr>
                <w:sz w:val="24"/>
                <w:szCs w:val="24"/>
              </w:rPr>
              <w:t>BH-FDR</w:t>
            </w:r>
          </w:p>
        </w:tc>
        <w:tc>
          <w:tcPr>
            <w:tcW w:w="0" w:type="auto"/>
            <w:hideMark/>
          </w:tcPr>
          <w:p w14:paraId="380986A7" w14:textId="77777777" w:rsidR="00D86F26" w:rsidRPr="00D86F26" w:rsidRDefault="00D86F26" w:rsidP="00FC1459">
            <w:pPr>
              <w:jc w:val="both"/>
              <w:rPr>
                <w:sz w:val="24"/>
                <w:szCs w:val="24"/>
              </w:rPr>
            </w:pPr>
            <w:r w:rsidRPr="00D86F26">
              <w:rPr>
                <w:sz w:val="24"/>
                <w:szCs w:val="24"/>
              </w:rPr>
              <w:t>FDR &lt; 0.05</w:t>
            </w:r>
          </w:p>
        </w:tc>
      </w:tr>
      <w:tr w:rsidR="00D86F26" w:rsidRPr="00D86F26" w14:paraId="05387B28" w14:textId="77777777" w:rsidTr="00D86F26">
        <w:tc>
          <w:tcPr>
            <w:tcW w:w="0" w:type="auto"/>
            <w:hideMark/>
          </w:tcPr>
          <w:p w14:paraId="196838F1" w14:textId="77777777" w:rsidR="00D86F26" w:rsidRPr="00D86F26" w:rsidRDefault="00D86F26" w:rsidP="00FC1459">
            <w:pPr>
              <w:jc w:val="both"/>
              <w:rPr>
                <w:sz w:val="24"/>
                <w:szCs w:val="24"/>
              </w:rPr>
            </w:pPr>
            <w:r w:rsidRPr="00D86F26">
              <w:rPr>
                <w:sz w:val="24"/>
                <w:szCs w:val="24"/>
              </w:rPr>
              <w:t>Pathway-level meta-analysis</w:t>
            </w:r>
          </w:p>
        </w:tc>
        <w:tc>
          <w:tcPr>
            <w:tcW w:w="0" w:type="auto"/>
            <w:hideMark/>
          </w:tcPr>
          <w:p w14:paraId="4E5D4486" w14:textId="77777777" w:rsidR="00D86F26" w:rsidRPr="00D86F26" w:rsidRDefault="00D86F26" w:rsidP="00FC1459">
            <w:pPr>
              <w:jc w:val="both"/>
              <w:rPr>
                <w:sz w:val="24"/>
                <w:szCs w:val="24"/>
              </w:rPr>
            </w:pPr>
            <w:r w:rsidRPr="00D86F26">
              <w:rPr>
                <w:sz w:val="24"/>
                <w:szCs w:val="24"/>
              </w:rPr>
              <w:t>6 pathways</w:t>
            </w:r>
          </w:p>
        </w:tc>
        <w:tc>
          <w:tcPr>
            <w:tcW w:w="0" w:type="auto"/>
            <w:hideMark/>
          </w:tcPr>
          <w:p w14:paraId="6B1AB3C0" w14:textId="77777777" w:rsidR="00D86F26" w:rsidRPr="00D86F26" w:rsidRDefault="00D86F26" w:rsidP="00FC1459">
            <w:pPr>
              <w:jc w:val="both"/>
              <w:rPr>
                <w:sz w:val="24"/>
                <w:szCs w:val="24"/>
              </w:rPr>
            </w:pPr>
            <w:r w:rsidRPr="00D86F26">
              <w:rPr>
                <w:sz w:val="24"/>
                <w:szCs w:val="24"/>
              </w:rPr>
              <w:t>BH-FDR</w:t>
            </w:r>
          </w:p>
        </w:tc>
        <w:tc>
          <w:tcPr>
            <w:tcW w:w="0" w:type="auto"/>
            <w:hideMark/>
          </w:tcPr>
          <w:p w14:paraId="7A6EBC3D" w14:textId="77777777" w:rsidR="00D86F26" w:rsidRPr="00D86F26" w:rsidRDefault="00D86F26" w:rsidP="00FC1459">
            <w:pPr>
              <w:jc w:val="both"/>
              <w:rPr>
                <w:sz w:val="24"/>
                <w:szCs w:val="24"/>
              </w:rPr>
            </w:pPr>
            <w:r w:rsidRPr="00D86F26">
              <w:rPr>
                <w:sz w:val="24"/>
                <w:szCs w:val="24"/>
              </w:rPr>
              <w:t>FDR &lt; 0.05</w:t>
            </w:r>
          </w:p>
        </w:tc>
      </w:tr>
      <w:tr w:rsidR="00D86F26" w:rsidRPr="00D86F26" w14:paraId="617CC0FF" w14:textId="77777777" w:rsidTr="00D86F26">
        <w:tc>
          <w:tcPr>
            <w:tcW w:w="0" w:type="auto"/>
            <w:hideMark/>
          </w:tcPr>
          <w:p w14:paraId="62D95EE8" w14:textId="77777777" w:rsidR="00D86F26" w:rsidRPr="00D86F26" w:rsidRDefault="00D86F26" w:rsidP="00FC1459">
            <w:pPr>
              <w:jc w:val="both"/>
              <w:rPr>
                <w:sz w:val="24"/>
                <w:szCs w:val="24"/>
              </w:rPr>
            </w:pPr>
            <w:proofErr w:type="gramStart"/>
            <w:r w:rsidRPr="00D86F26">
              <w:rPr>
                <w:sz w:val="24"/>
                <w:szCs w:val="24"/>
              </w:rPr>
              <w:t>Single-cell</w:t>
            </w:r>
            <w:proofErr w:type="gramEnd"/>
            <w:r w:rsidRPr="00D86F26">
              <w:rPr>
                <w:sz w:val="24"/>
                <w:szCs w:val="24"/>
              </w:rPr>
              <w:t xml:space="preserve"> </w:t>
            </w:r>
            <w:proofErr w:type="spellStart"/>
            <w:r w:rsidRPr="00D86F26">
              <w:rPr>
                <w:sz w:val="24"/>
                <w:szCs w:val="24"/>
              </w:rPr>
              <w:t>pseudobulk</w:t>
            </w:r>
            <w:proofErr w:type="spellEnd"/>
            <w:r w:rsidRPr="00D86F26">
              <w:rPr>
                <w:sz w:val="24"/>
                <w:szCs w:val="24"/>
              </w:rPr>
              <w:t xml:space="preserve"> localization</w:t>
            </w:r>
          </w:p>
        </w:tc>
        <w:tc>
          <w:tcPr>
            <w:tcW w:w="0" w:type="auto"/>
            <w:hideMark/>
          </w:tcPr>
          <w:p w14:paraId="481ADF05" w14:textId="77777777" w:rsidR="00D86F26" w:rsidRPr="00D86F26" w:rsidRDefault="00D86F26" w:rsidP="00FC1459">
            <w:pPr>
              <w:jc w:val="both"/>
              <w:rPr>
                <w:sz w:val="24"/>
                <w:szCs w:val="24"/>
              </w:rPr>
            </w:pPr>
            <w:r w:rsidRPr="00D86F26">
              <w:rPr>
                <w:sz w:val="24"/>
                <w:szCs w:val="24"/>
              </w:rPr>
              <w:t>715 measured axis-gene-by-lineage units</w:t>
            </w:r>
          </w:p>
        </w:tc>
        <w:tc>
          <w:tcPr>
            <w:tcW w:w="0" w:type="auto"/>
            <w:hideMark/>
          </w:tcPr>
          <w:p w14:paraId="49EA9C81" w14:textId="77777777" w:rsidR="00D86F26" w:rsidRPr="00D86F26" w:rsidRDefault="00D86F26" w:rsidP="00FC1459">
            <w:pPr>
              <w:jc w:val="both"/>
              <w:rPr>
                <w:sz w:val="24"/>
                <w:szCs w:val="24"/>
              </w:rPr>
            </w:pPr>
            <w:r w:rsidRPr="00D86F26">
              <w:rPr>
                <w:sz w:val="24"/>
                <w:szCs w:val="24"/>
              </w:rPr>
              <w:t>BH-FDR</w:t>
            </w:r>
          </w:p>
        </w:tc>
        <w:tc>
          <w:tcPr>
            <w:tcW w:w="0" w:type="auto"/>
            <w:hideMark/>
          </w:tcPr>
          <w:p w14:paraId="4882EAF6" w14:textId="77777777" w:rsidR="00D86F26" w:rsidRPr="00D86F26" w:rsidRDefault="00D86F26" w:rsidP="00FC1459">
            <w:pPr>
              <w:jc w:val="both"/>
              <w:rPr>
                <w:sz w:val="24"/>
                <w:szCs w:val="24"/>
              </w:rPr>
            </w:pPr>
            <w:r w:rsidRPr="00D86F26">
              <w:rPr>
                <w:sz w:val="24"/>
                <w:szCs w:val="24"/>
              </w:rPr>
              <w:t>FDR &lt; 0.05</w:t>
            </w:r>
          </w:p>
        </w:tc>
      </w:tr>
      <w:tr w:rsidR="00D86F26" w:rsidRPr="00D86F26" w14:paraId="76678556" w14:textId="77777777" w:rsidTr="00D86F26">
        <w:tc>
          <w:tcPr>
            <w:tcW w:w="0" w:type="auto"/>
            <w:hideMark/>
          </w:tcPr>
          <w:p w14:paraId="0A04EA7B" w14:textId="77777777" w:rsidR="00D86F26" w:rsidRPr="00D86F26" w:rsidRDefault="00D86F26" w:rsidP="00FC1459">
            <w:pPr>
              <w:jc w:val="both"/>
              <w:rPr>
                <w:sz w:val="24"/>
                <w:szCs w:val="24"/>
              </w:rPr>
            </w:pPr>
            <w:r w:rsidRPr="00D86F26">
              <w:rPr>
                <w:sz w:val="24"/>
                <w:szCs w:val="24"/>
              </w:rPr>
              <w:t>External validation in GSE213216</w:t>
            </w:r>
          </w:p>
        </w:tc>
        <w:tc>
          <w:tcPr>
            <w:tcW w:w="0" w:type="auto"/>
            <w:hideMark/>
          </w:tcPr>
          <w:p w14:paraId="79A41D1D" w14:textId="77777777" w:rsidR="00D86F26" w:rsidRPr="00D86F26" w:rsidRDefault="00D86F26" w:rsidP="00FC1459">
            <w:pPr>
              <w:jc w:val="both"/>
              <w:rPr>
                <w:sz w:val="24"/>
                <w:szCs w:val="24"/>
              </w:rPr>
            </w:pPr>
            <w:r w:rsidRPr="00D86F26">
              <w:rPr>
                <w:sz w:val="24"/>
                <w:szCs w:val="24"/>
              </w:rPr>
              <w:t>195 planned tests</w:t>
            </w:r>
          </w:p>
        </w:tc>
        <w:tc>
          <w:tcPr>
            <w:tcW w:w="0" w:type="auto"/>
            <w:hideMark/>
          </w:tcPr>
          <w:p w14:paraId="27FDD6BA" w14:textId="77777777" w:rsidR="00D86F26" w:rsidRPr="00D86F26" w:rsidRDefault="00D86F26" w:rsidP="00FC1459">
            <w:pPr>
              <w:jc w:val="both"/>
              <w:rPr>
                <w:sz w:val="24"/>
                <w:szCs w:val="24"/>
              </w:rPr>
            </w:pPr>
            <w:r w:rsidRPr="00D86F26">
              <w:rPr>
                <w:sz w:val="24"/>
                <w:szCs w:val="24"/>
              </w:rPr>
              <w:t>BH-FDR</w:t>
            </w:r>
          </w:p>
        </w:tc>
        <w:tc>
          <w:tcPr>
            <w:tcW w:w="0" w:type="auto"/>
            <w:hideMark/>
          </w:tcPr>
          <w:p w14:paraId="50235458" w14:textId="77777777" w:rsidR="00D86F26" w:rsidRPr="00D86F26" w:rsidRDefault="00D86F26" w:rsidP="00FC1459">
            <w:pPr>
              <w:jc w:val="both"/>
              <w:rPr>
                <w:sz w:val="24"/>
                <w:szCs w:val="24"/>
              </w:rPr>
            </w:pPr>
            <w:r w:rsidRPr="00D86F26">
              <w:rPr>
                <w:sz w:val="24"/>
                <w:szCs w:val="24"/>
              </w:rPr>
              <w:t>FDR &lt; 0.05</w:t>
            </w:r>
          </w:p>
        </w:tc>
      </w:tr>
      <w:tr w:rsidR="00D86F26" w:rsidRPr="00D86F26" w14:paraId="7582532D" w14:textId="77777777" w:rsidTr="00D86F26">
        <w:tc>
          <w:tcPr>
            <w:tcW w:w="0" w:type="auto"/>
            <w:hideMark/>
          </w:tcPr>
          <w:p w14:paraId="7C733E7B" w14:textId="77777777" w:rsidR="00D86F26" w:rsidRPr="00D86F26" w:rsidRDefault="00D86F26" w:rsidP="00FC1459">
            <w:pPr>
              <w:jc w:val="both"/>
              <w:rPr>
                <w:sz w:val="24"/>
                <w:szCs w:val="24"/>
              </w:rPr>
            </w:pPr>
            <w:r w:rsidRPr="00D86F26">
              <w:rPr>
                <w:sz w:val="24"/>
                <w:szCs w:val="24"/>
              </w:rPr>
              <w:t>LINCS L1000 perturbational analysis</w:t>
            </w:r>
          </w:p>
        </w:tc>
        <w:tc>
          <w:tcPr>
            <w:tcW w:w="0" w:type="auto"/>
            <w:hideMark/>
          </w:tcPr>
          <w:p w14:paraId="6C30F9D4" w14:textId="77777777" w:rsidR="00D86F26" w:rsidRPr="00D86F26" w:rsidRDefault="00D86F26" w:rsidP="00FC1459">
            <w:pPr>
              <w:jc w:val="both"/>
              <w:rPr>
                <w:sz w:val="24"/>
                <w:szCs w:val="24"/>
              </w:rPr>
            </w:pPr>
            <w:r w:rsidRPr="00D86F26">
              <w:rPr>
                <w:sz w:val="24"/>
                <w:szCs w:val="24"/>
              </w:rPr>
              <w:t>4 hypotheses</w:t>
            </w:r>
          </w:p>
        </w:tc>
        <w:tc>
          <w:tcPr>
            <w:tcW w:w="0" w:type="auto"/>
            <w:hideMark/>
          </w:tcPr>
          <w:p w14:paraId="2DED31AD" w14:textId="77777777" w:rsidR="00D86F26" w:rsidRPr="00D86F26" w:rsidRDefault="00D86F26" w:rsidP="00FC1459">
            <w:pPr>
              <w:jc w:val="both"/>
              <w:rPr>
                <w:sz w:val="24"/>
                <w:szCs w:val="24"/>
              </w:rPr>
            </w:pPr>
            <w:r w:rsidRPr="00D86F26">
              <w:rPr>
                <w:sz w:val="24"/>
                <w:szCs w:val="24"/>
              </w:rPr>
              <w:t>BH-FDR</w:t>
            </w:r>
          </w:p>
        </w:tc>
        <w:tc>
          <w:tcPr>
            <w:tcW w:w="0" w:type="auto"/>
            <w:hideMark/>
          </w:tcPr>
          <w:p w14:paraId="7F9796D5" w14:textId="77777777" w:rsidR="00D86F26" w:rsidRPr="00D86F26" w:rsidRDefault="00D86F26" w:rsidP="00FC1459">
            <w:pPr>
              <w:jc w:val="both"/>
              <w:rPr>
                <w:sz w:val="24"/>
                <w:szCs w:val="24"/>
              </w:rPr>
            </w:pPr>
            <w:r w:rsidRPr="00D86F26">
              <w:rPr>
                <w:sz w:val="24"/>
                <w:szCs w:val="24"/>
              </w:rPr>
              <w:t>FDR &lt; 0.05</w:t>
            </w:r>
          </w:p>
        </w:tc>
      </w:tr>
      <w:tr w:rsidR="00D86F26" w:rsidRPr="00D86F26" w14:paraId="78C34B1F" w14:textId="77777777" w:rsidTr="00D86F26">
        <w:tc>
          <w:tcPr>
            <w:tcW w:w="0" w:type="auto"/>
            <w:hideMark/>
          </w:tcPr>
          <w:p w14:paraId="23BDD179" w14:textId="77777777" w:rsidR="00D86F26" w:rsidRPr="00D86F26" w:rsidRDefault="00D86F26" w:rsidP="00FC1459">
            <w:pPr>
              <w:jc w:val="both"/>
              <w:rPr>
                <w:sz w:val="24"/>
                <w:szCs w:val="24"/>
              </w:rPr>
            </w:pPr>
            <w:r w:rsidRPr="00D86F26">
              <w:rPr>
                <w:sz w:val="24"/>
                <w:szCs w:val="24"/>
              </w:rPr>
              <w:t>Exploratory endothelial-subcluster analysis</w:t>
            </w:r>
          </w:p>
        </w:tc>
        <w:tc>
          <w:tcPr>
            <w:tcW w:w="0" w:type="auto"/>
            <w:hideMark/>
          </w:tcPr>
          <w:p w14:paraId="4419C6A1" w14:textId="77777777" w:rsidR="00D86F26" w:rsidRPr="00D86F26" w:rsidRDefault="00D86F26" w:rsidP="00FC1459">
            <w:pPr>
              <w:jc w:val="both"/>
              <w:rPr>
                <w:sz w:val="24"/>
                <w:szCs w:val="24"/>
              </w:rPr>
            </w:pPr>
            <w:r w:rsidRPr="00D86F26">
              <w:rPr>
                <w:sz w:val="24"/>
                <w:szCs w:val="24"/>
              </w:rPr>
              <w:t>2 testable subclusters</w:t>
            </w:r>
          </w:p>
        </w:tc>
        <w:tc>
          <w:tcPr>
            <w:tcW w:w="0" w:type="auto"/>
            <w:hideMark/>
          </w:tcPr>
          <w:p w14:paraId="2BE5E6C1" w14:textId="77777777" w:rsidR="00D86F26" w:rsidRPr="00D86F26" w:rsidRDefault="00D86F26" w:rsidP="00FC1459">
            <w:pPr>
              <w:jc w:val="both"/>
              <w:rPr>
                <w:sz w:val="24"/>
                <w:szCs w:val="24"/>
              </w:rPr>
            </w:pPr>
            <w:r w:rsidRPr="00D86F26">
              <w:rPr>
                <w:sz w:val="24"/>
                <w:szCs w:val="24"/>
              </w:rPr>
              <w:t>Separate exploratory BH-FDR family</w:t>
            </w:r>
          </w:p>
        </w:tc>
        <w:tc>
          <w:tcPr>
            <w:tcW w:w="0" w:type="auto"/>
            <w:hideMark/>
          </w:tcPr>
          <w:p w14:paraId="2DD252E8" w14:textId="77777777" w:rsidR="00D86F26" w:rsidRPr="00D86F26" w:rsidRDefault="00D86F26" w:rsidP="00FC1459">
            <w:pPr>
              <w:jc w:val="both"/>
              <w:rPr>
                <w:sz w:val="24"/>
                <w:szCs w:val="24"/>
              </w:rPr>
            </w:pPr>
            <w:r w:rsidRPr="00D86F26">
              <w:rPr>
                <w:sz w:val="24"/>
                <w:szCs w:val="24"/>
              </w:rPr>
              <w:t>Exploratory only</w:t>
            </w:r>
          </w:p>
        </w:tc>
      </w:tr>
      <w:tr w:rsidR="00D86F26" w:rsidRPr="00D86F26" w14:paraId="4DC7BE81" w14:textId="77777777" w:rsidTr="00D86F26">
        <w:tc>
          <w:tcPr>
            <w:tcW w:w="0" w:type="auto"/>
            <w:hideMark/>
          </w:tcPr>
          <w:p w14:paraId="7725D0FB" w14:textId="77777777" w:rsidR="00D86F26" w:rsidRPr="00D86F26" w:rsidRDefault="00D86F26" w:rsidP="00FC1459">
            <w:pPr>
              <w:jc w:val="both"/>
              <w:rPr>
                <w:sz w:val="24"/>
                <w:szCs w:val="24"/>
              </w:rPr>
            </w:pPr>
            <w:r w:rsidRPr="00D86F26">
              <w:rPr>
                <w:sz w:val="24"/>
                <w:szCs w:val="24"/>
              </w:rPr>
              <w:t>Exploratory decidualization-response analysis</w:t>
            </w:r>
          </w:p>
        </w:tc>
        <w:tc>
          <w:tcPr>
            <w:tcW w:w="0" w:type="auto"/>
            <w:hideMark/>
          </w:tcPr>
          <w:p w14:paraId="00CF1C9B" w14:textId="77777777" w:rsidR="00D86F26" w:rsidRPr="00D86F26" w:rsidRDefault="00D86F26" w:rsidP="00FC1459">
            <w:pPr>
              <w:jc w:val="both"/>
              <w:rPr>
                <w:sz w:val="24"/>
                <w:szCs w:val="24"/>
              </w:rPr>
            </w:pPr>
            <w:r w:rsidRPr="00D86F26">
              <w:rPr>
                <w:sz w:val="24"/>
                <w:szCs w:val="24"/>
              </w:rPr>
              <w:t>Correlation per cell type</w:t>
            </w:r>
          </w:p>
        </w:tc>
        <w:tc>
          <w:tcPr>
            <w:tcW w:w="0" w:type="auto"/>
            <w:hideMark/>
          </w:tcPr>
          <w:p w14:paraId="24891DAF" w14:textId="77777777" w:rsidR="00D86F26" w:rsidRPr="00D86F26" w:rsidRDefault="00D86F26" w:rsidP="00FC1459">
            <w:pPr>
              <w:jc w:val="both"/>
              <w:rPr>
                <w:sz w:val="24"/>
                <w:szCs w:val="24"/>
              </w:rPr>
            </w:pPr>
            <w:r w:rsidRPr="00D86F26">
              <w:rPr>
                <w:sz w:val="24"/>
                <w:szCs w:val="24"/>
              </w:rPr>
              <w:t>No confirmatory threshold</w:t>
            </w:r>
          </w:p>
        </w:tc>
        <w:tc>
          <w:tcPr>
            <w:tcW w:w="0" w:type="auto"/>
            <w:hideMark/>
          </w:tcPr>
          <w:p w14:paraId="3B447EF8" w14:textId="77777777" w:rsidR="00D86F26" w:rsidRPr="00D86F26" w:rsidRDefault="00D86F26" w:rsidP="00FC1459">
            <w:pPr>
              <w:jc w:val="both"/>
              <w:rPr>
                <w:sz w:val="24"/>
                <w:szCs w:val="24"/>
              </w:rPr>
            </w:pPr>
            <w:r w:rsidRPr="00D86F26">
              <w:rPr>
                <w:sz w:val="24"/>
                <w:szCs w:val="24"/>
              </w:rPr>
              <w:t>Exploratory only</w:t>
            </w:r>
          </w:p>
        </w:tc>
      </w:tr>
    </w:tbl>
    <w:p w14:paraId="02E44B43" w14:textId="77777777" w:rsidR="00D86F26" w:rsidRPr="00D86F26" w:rsidRDefault="00D86F26" w:rsidP="00FC1459">
      <w:pPr>
        <w:spacing w:before="100" w:beforeAutospacing="1" w:after="100" w:afterAutospacing="1"/>
        <w:jc w:val="both"/>
        <w:outlineLvl w:val="0"/>
        <w:rPr>
          <w:b/>
          <w:bCs/>
          <w:kern w:val="36"/>
          <w:sz w:val="24"/>
          <w:szCs w:val="24"/>
        </w:rPr>
      </w:pPr>
      <w:r w:rsidRPr="00D86F26">
        <w:rPr>
          <w:b/>
          <w:bCs/>
          <w:kern w:val="36"/>
          <w:sz w:val="24"/>
          <w:szCs w:val="24"/>
        </w:rPr>
        <w:t>Data and code availability</w:t>
      </w:r>
    </w:p>
    <w:p w14:paraId="0B27E824" w14:textId="77777777" w:rsidR="00D86F26" w:rsidRPr="00D86F26" w:rsidRDefault="00D86F26" w:rsidP="00FC1459">
      <w:pPr>
        <w:spacing w:before="100" w:beforeAutospacing="1" w:after="100" w:afterAutospacing="1"/>
        <w:jc w:val="both"/>
        <w:rPr>
          <w:sz w:val="24"/>
          <w:szCs w:val="24"/>
        </w:rPr>
      </w:pPr>
      <w:r w:rsidRPr="00D86F26">
        <w:rPr>
          <w:sz w:val="24"/>
          <w:szCs w:val="24"/>
        </w:rPr>
        <w:t xml:space="preserve">All datasets </w:t>
      </w:r>
      <w:proofErr w:type="spellStart"/>
      <w:r w:rsidRPr="00D86F26">
        <w:rPr>
          <w:sz w:val="24"/>
          <w:szCs w:val="24"/>
        </w:rPr>
        <w:t>analysed</w:t>
      </w:r>
      <w:proofErr w:type="spellEnd"/>
      <w:r w:rsidRPr="00D86F26">
        <w:rPr>
          <w:sz w:val="24"/>
          <w:szCs w:val="24"/>
        </w:rPr>
        <w:t xml:space="preserve"> in this study are publicly available through the Gene Expression Omnibus or Sequence Read Archive under the following accessions: GSE7305, GSE6364, GSE7307, GSE11691, GSE120103, GSE179640, GSE183837, GSE213216, GSE214411, GSE25628, GSE51981, GSE75423, and GSE75425. The SenMayo gene set is available through </w:t>
      </w:r>
      <w:proofErr w:type="spellStart"/>
      <w:r w:rsidRPr="00D86F26">
        <w:rPr>
          <w:sz w:val="24"/>
          <w:szCs w:val="24"/>
        </w:rPr>
        <w:t>MSigDB</w:t>
      </w:r>
      <w:proofErr w:type="spellEnd"/>
      <w:r w:rsidRPr="00D86F26">
        <w:rPr>
          <w:sz w:val="24"/>
          <w:szCs w:val="24"/>
        </w:rPr>
        <w:t xml:space="preserve"> as SAUL_SEN_MAYO (M45803). LINCS L1000 perturbational resources were accessed through the </w:t>
      </w:r>
      <w:proofErr w:type="spellStart"/>
      <w:r w:rsidRPr="00D86F26">
        <w:rPr>
          <w:sz w:val="24"/>
          <w:szCs w:val="24"/>
        </w:rPr>
        <w:t>iLINCS</w:t>
      </w:r>
      <w:proofErr w:type="spellEnd"/>
      <w:r w:rsidRPr="00D86F26">
        <w:rPr>
          <w:sz w:val="24"/>
          <w:szCs w:val="24"/>
        </w:rPr>
        <w:t xml:space="preserve"> API, with landmark-gene annotation derived from GSE92742.</w:t>
      </w:r>
    </w:p>
    <w:p w14:paraId="1ECE084E" w14:textId="1FA455C0" w:rsidR="00C02183" w:rsidRDefault="00C02183" w:rsidP="00FC1459">
      <w:pPr>
        <w:jc w:val="both"/>
        <w:rPr>
          <w:sz w:val="24"/>
          <w:szCs w:val="24"/>
          <w:rtl/>
        </w:rPr>
      </w:pPr>
      <w:r w:rsidRPr="00C02183">
        <w:rPr>
          <w:sz w:val="24"/>
          <w:szCs w:val="24"/>
        </w:rPr>
        <w:t xml:space="preserve">The time-stamped analysis charter, dated amendments, analysis scripts, dataset manifest, frozen contrast definitions, software </w:t>
      </w:r>
      <w:proofErr w:type="spellStart"/>
      <w:r w:rsidRPr="00C02183">
        <w:rPr>
          <w:sz w:val="24"/>
          <w:szCs w:val="24"/>
        </w:rPr>
        <w:t>lockfile</w:t>
      </w:r>
      <w:proofErr w:type="spellEnd"/>
      <w:r w:rsidRPr="00C02183">
        <w:rPr>
          <w:sz w:val="24"/>
          <w:szCs w:val="24"/>
        </w:rPr>
        <w:t xml:space="preserve">, </w:t>
      </w:r>
      <w:proofErr w:type="gramStart"/>
      <w:r w:rsidRPr="00C02183">
        <w:rPr>
          <w:sz w:val="24"/>
          <w:szCs w:val="24"/>
        </w:rPr>
        <w:t>final result</w:t>
      </w:r>
      <w:proofErr w:type="gramEnd"/>
      <w:r w:rsidRPr="00C02183">
        <w:rPr>
          <w:sz w:val="24"/>
          <w:szCs w:val="24"/>
        </w:rPr>
        <w:t xml:space="preserve"> tables and figure-generation code are available at: </w:t>
      </w:r>
      <w:hyperlink r:id="rId7" w:history="1">
        <w:r w:rsidRPr="00205654">
          <w:rPr>
            <w:rStyle w:val="Hyperlink"/>
            <w:sz w:val="24"/>
            <w:szCs w:val="24"/>
          </w:rPr>
          <w:t>https://github.com/omygene/endometriosis-cross-cohort-transcriptomics</w:t>
        </w:r>
      </w:hyperlink>
      <w:r w:rsidRPr="00C02183">
        <w:rPr>
          <w:sz w:val="24"/>
          <w:szCs w:val="24"/>
        </w:rPr>
        <w:t>.</w:t>
      </w:r>
    </w:p>
    <w:p w14:paraId="76536400" w14:textId="7E7A5DBE" w:rsidR="00B815BF" w:rsidRPr="00D86F26" w:rsidRDefault="00C02183" w:rsidP="00FC1459">
      <w:pPr>
        <w:jc w:val="both"/>
        <w:rPr>
          <w:rFonts w:asciiTheme="majorBidi" w:hAnsiTheme="majorBidi" w:cstheme="majorBidi"/>
          <w:b/>
          <w:bCs/>
          <w:sz w:val="24"/>
          <w:szCs w:val="24"/>
          <w:rtl/>
        </w:rPr>
      </w:pPr>
      <w:r w:rsidRPr="00C02183">
        <w:rPr>
          <w:sz w:val="24"/>
          <w:szCs w:val="24"/>
        </w:rPr>
        <w:t>Raw single-cell archives and bulk transcriptomic data remain available from their original public repositories. The complete data-processing chain is documented in the project audit record.</w:t>
      </w:r>
    </w:p>
    <w:p w14:paraId="70E48304" w14:textId="77777777" w:rsidR="00B815BF" w:rsidRPr="00D86F26" w:rsidRDefault="00B815BF" w:rsidP="00FC1459">
      <w:pPr>
        <w:jc w:val="both"/>
        <w:rPr>
          <w:rFonts w:asciiTheme="majorBidi" w:hAnsiTheme="majorBidi" w:cstheme="majorBidi"/>
          <w:b/>
          <w:bCs/>
          <w:sz w:val="24"/>
          <w:szCs w:val="24"/>
          <w:rtl/>
        </w:rPr>
      </w:pPr>
    </w:p>
    <w:p w14:paraId="0250584D" w14:textId="77777777" w:rsidR="00FC1459" w:rsidRPr="00FC1459" w:rsidRDefault="00FC1459" w:rsidP="00FC1459">
      <w:pPr>
        <w:spacing w:before="200" w:after="80" w:line="276" w:lineRule="auto"/>
        <w:jc w:val="both"/>
        <w:rPr>
          <w:rFonts w:ascii="Arial" w:eastAsia="Arial" w:hAnsi="Arial" w:cs="Arial"/>
          <w:sz w:val="21"/>
          <w:szCs w:val="22"/>
        </w:rPr>
      </w:pPr>
      <w:r w:rsidRPr="00FC1459">
        <w:rPr>
          <w:rFonts w:ascii="Arial" w:eastAsia="Arial" w:hAnsi="Arial" w:cs="Arial"/>
          <w:b/>
          <w:sz w:val="24"/>
          <w:szCs w:val="22"/>
        </w:rPr>
        <w:t>A locked multi-cohort design identified a heterogeneous endometriosis-associated transcriptomic signal</w:t>
      </w:r>
    </w:p>
    <w:p w14:paraId="5F583D17" w14:textId="77777777" w:rsidR="00FC1459" w:rsidRPr="00FC1459" w:rsidRDefault="00FC1459" w:rsidP="00FC1459">
      <w:pPr>
        <w:spacing w:after="140" w:line="269" w:lineRule="auto"/>
        <w:jc w:val="both"/>
        <w:rPr>
          <w:rFonts w:ascii="Arial" w:eastAsia="Arial" w:hAnsi="Arial" w:cs="Arial"/>
          <w:sz w:val="21"/>
          <w:szCs w:val="22"/>
        </w:rPr>
      </w:pPr>
      <w:r w:rsidRPr="00FC1459">
        <w:rPr>
          <w:rFonts w:ascii="Arial" w:eastAsia="Arial" w:hAnsi="Arial" w:cs="Arial"/>
          <w:sz w:val="21"/>
          <w:szCs w:val="22"/>
        </w:rPr>
        <w:t>We integrated six prespecified bulk transcriptomic contrasts spanning heterogeneous endometriosis-associated tissue comparisons, including ectopic or disease-associated endometrial tissue relative to normal or comparator endometrium (Fig. 1</w:t>
      </w:r>
      <w:proofErr w:type="gramStart"/>
      <w:r w:rsidRPr="00FC1459">
        <w:rPr>
          <w:rFonts w:ascii="Arial" w:eastAsia="Arial" w:hAnsi="Arial" w:cs="Arial"/>
          <w:sz w:val="21"/>
          <w:szCs w:val="22"/>
        </w:rPr>
        <w:t>a,b</w:t>
      </w:r>
      <w:proofErr w:type="gramEnd"/>
      <w:r w:rsidRPr="00FC1459">
        <w:rPr>
          <w:rFonts w:ascii="Arial" w:eastAsia="Arial" w:hAnsi="Arial" w:cs="Arial"/>
          <w:sz w:val="21"/>
          <w:szCs w:val="22"/>
        </w:rPr>
        <w:t xml:space="preserve">; Supplementary Table S1). Each cohort was processed and </w:t>
      </w:r>
      <w:proofErr w:type="spellStart"/>
      <w:r w:rsidRPr="00FC1459">
        <w:rPr>
          <w:rFonts w:ascii="Arial" w:eastAsia="Arial" w:hAnsi="Arial" w:cs="Arial"/>
          <w:sz w:val="21"/>
          <w:szCs w:val="22"/>
        </w:rPr>
        <w:t>analysed</w:t>
      </w:r>
      <w:proofErr w:type="spellEnd"/>
      <w:r w:rsidRPr="00FC1459">
        <w:rPr>
          <w:rFonts w:ascii="Arial" w:eastAsia="Arial" w:hAnsi="Arial" w:cs="Arial"/>
          <w:sz w:val="21"/>
          <w:szCs w:val="22"/>
        </w:rPr>
        <w:t xml:space="preserve"> independently before cross-cohort synthesis. The primary discovery meta-analysis included GSE7305, GSE6364, GSE25628, GSE7307, GSE51981 and GSE120103. GSE11691, comprising nine matched ectopic–</w:t>
      </w:r>
      <w:proofErr w:type="spellStart"/>
      <w:r w:rsidRPr="00FC1459">
        <w:rPr>
          <w:rFonts w:ascii="Arial" w:eastAsia="Arial" w:hAnsi="Arial" w:cs="Arial"/>
          <w:sz w:val="21"/>
          <w:szCs w:val="22"/>
        </w:rPr>
        <w:t>eutopic</w:t>
      </w:r>
      <w:proofErr w:type="spellEnd"/>
      <w:r w:rsidRPr="00FC1459">
        <w:rPr>
          <w:rFonts w:ascii="Arial" w:eastAsia="Arial" w:hAnsi="Arial" w:cs="Arial"/>
          <w:sz w:val="21"/>
          <w:szCs w:val="22"/>
        </w:rPr>
        <w:t xml:space="preserve"> pairs, was reserved for within-person directional concordance and was not pooled with the primary meta-analysis. Three single-cell datasets were used for discovery-stage localization, and the GSE213216 atlas was held out for independent external validation (Fig. 1</w:t>
      </w:r>
      <w:proofErr w:type="gramStart"/>
      <w:r w:rsidRPr="00FC1459">
        <w:rPr>
          <w:rFonts w:ascii="Arial" w:eastAsia="Arial" w:hAnsi="Arial" w:cs="Arial"/>
          <w:sz w:val="21"/>
          <w:szCs w:val="22"/>
        </w:rPr>
        <w:t>a,c</w:t>
      </w:r>
      <w:proofErr w:type="gramEnd"/>
      <w:r w:rsidRPr="00FC1459">
        <w:rPr>
          <w:rFonts w:ascii="Arial" w:eastAsia="Arial" w:hAnsi="Arial" w:cs="Arial"/>
          <w:sz w:val="21"/>
          <w:szCs w:val="22"/>
        </w:rPr>
        <w:t>).</w:t>
      </w:r>
    </w:p>
    <w:p w14:paraId="572C8142" w14:textId="77777777" w:rsidR="00FC1459" w:rsidRPr="00FC1459" w:rsidRDefault="00FC1459" w:rsidP="00FC1459">
      <w:pPr>
        <w:spacing w:after="140" w:line="269" w:lineRule="auto"/>
        <w:jc w:val="both"/>
        <w:rPr>
          <w:rFonts w:ascii="Arial" w:eastAsia="Arial" w:hAnsi="Arial" w:cs="Arial"/>
          <w:sz w:val="21"/>
          <w:szCs w:val="22"/>
        </w:rPr>
      </w:pPr>
      <w:r w:rsidRPr="00FC1459">
        <w:rPr>
          <w:rFonts w:ascii="Arial" w:eastAsia="Arial" w:hAnsi="Arial" w:cs="Arial"/>
          <w:sz w:val="21"/>
          <w:szCs w:val="22"/>
        </w:rPr>
        <w:lastRenderedPageBreak/>
        <w:t xml:space="preserve">The six primary bulk contrasts differed in tissue source, disease context, clinical composition and comparator definition. We therefore used random-effects models throughout the discovery meta-analysis and retained between-cohort heterogeneity as a reported feature of the data rather than using heterogeneity as an exclusion criterion. All primary statistical claims were evaluated against prespecified BH-FDR thresholds, </w:t>
      </w:r>
      <w:proofErr w:type="gramStart"/>
      <w:r w:rsidRPr="00FC1459">
        <w:rPr>
          <w:rFonts w:ascii="Arial" w:eastAsia="Arial" w:hAnsi="Arial" w:cs="Arial"/>
          <w:sz w:val="21"/>
          <w:szCs w:val="22"/>
        </w:rPr>
        <w:t>with effect</w:t>
      </w:r>
      <w:proofErr w:type="gramEnd"/>
      <w:r w:rsidRPr="00FC1459">
        <w:rPr>
          <w:rFonts w:ascii="Arial" w:eastAsia="Arial" w:hAnsi="Arial" w:cs="Arial"/>
          <w:sz w:val="21"/>
          <w:szCs w:val="22"/>
        </w:rPr>
        <w:t xml:space="preserve"> magnitude and directional consistency used for tiering rather than as alternative significance thresholds (Fig. 1c; Supplementary Tables S1 and S4).</w:t>
      </w:r>
    </w:p>
    <w:p w14:paraId="6167B304" w14:textId="77777777" w:rsidR="00FC1459" w:rsidRPr="00FC1459" w:rsidRDefault="00FC1459" w:rsidP="00FC1459">
      <w:pPr>
        <w:spacing w:before="200" w:after="80" w:line="276" w:lineRule="auto"/>
        <w:jc w:val="both"/>
        <w:rPr>
          <w:rFonts w:ascii="Arial" w:eastAsia="Arial" w:hAnsi="Arial" w:cs="Arial"/>
          <w:sz w:val="21"/>
          <w:szCs w:val="22"/>
        </w:rPr>
      </w:pPr>
      <w:r w:rsidRPr="00FC1459">
        <w:rPr>
          <w:rFonts w:ascii="Arial" w:eastAsia="Arial" w:hAnsi="Arial" w:cs="Arial"/>
          <w:b/>
          <w:sz w:val="24"/>
          <w:szCs w:val="22"/>
        </w:rPr>
        <w:t>Gene-level meta-analysis defined a Tier-1 set with substantial between-cohort heterogeneity</w:t>
      </w:r>
    </w:p>
    <w:p w14:paraId="624B8BD3" w14:textId="77777777" w:rsidR="00FC1459" w:rsidRPr="00FC1459" w:rsidRDefault="00FC1459" w:rsidP="00FC1459">
      <w:pPr>
        <w:spacing w:after="140" w:line="269" w:lineRule="auto"/>
        <w:jc w:val="both"/>
        <w:rPr>
          <w:rFonts w:ascii="Arial" w:eastAsia="Arial" w:hAnsi="Arial" w:cs="Arial"/>
          <w:sz w:val="21"/>
          <w:szCs w:val="22"/>
        </w:rPr>
      </w:pPr>
      <w:r w:rsidRPr="00FC1459">
        <w:rPr>
          <w:rFonts w:ascii="Arial" w:eastAsia="Arial" w:hAnsi="Arial" w:cs="Arial"/>
          <w:sz w:val="21"/>
          <w:szCs w:val="22"/>
        </w:rPr>
        <w:t xml:space="preserve">Across 21,355 genes evaluated in the random-effects meta-analysis, 485 met the prespecified Tier-1 criteria: BH-FDR &lt; 0.05, absolute pooled meta-analytic effect |M| ≥ 0.5, and agreement in effect direction in at least four of the six discovery cohorts (Fig. 2a; Supplementary Data 1 and 2). The resulting set included both </w:t>
      </w:r>
      <w:proofErr w:type="gramStart"/>
      <w:r w:rsidRPr="00FC1459">
        <w:rPr>
          <w:rFonts w:ascii="Arial" w:eastAsia="Arial" w:hAnsi="Arial" w:cs="Arial"/>
          <w:sz w:val="21"/>
          <w:szCs w:val="22"/>
        </w:rPr>
        <w:t>positively</w:t>
      </w:r>
      <w:proofErr w:type="gramEnd"/>
      <w:r w:rsidRPr="00FC1459">
        <w:rPr>
          <w:rFonts w:ascii="Arial" w:eastAsia="Arial" w:hAnsi="Arial" w:cs="Arial"/>
          <w:sz w:val="21"/>
          <w:szCs w:val="22"/>
        </w:rPr>
        <w:t xml:space="preserve"> and negatively associated genes. Prominent positive pooled effects included immediate-early and stress-response genes such as FOSB, FOS, EGR1, SOCS3 and CCN5, whereas prominent negative effects included PPP2R2C, FREM2, PIP5K1B, LMNB1, AGR3 and HPGD.</w:t>
      </w:r>
    </w:p>
    <w:p w14:paraId="074002A9" w14:textId="77777777" w:rsidR="00FC1459" w:rsidRPr="00FC1459" w:rsidRDefault="00FC1459" w:rsidP="00FC1459">
      <w:pPr>
        <w:spacing w:after="140" w:line="269" w:lineRule="auto"/>
        <w:jc w:val="both"/>
        <w:rPr>
          <w:rFonts w:ascii="Arial" w:eastAsia="Arial" w:hAnsi="Arial" w:cs="Arial"/>
          <w:sz w:val="21"/>
          <w:szCs w:val="22"/>
        </w:rPr>
      </w:pPr>
      <w:r w:rsidRPr="00FC1459">
        <w:rPr>
          <w:rFonts w:ascii="Arial" w:eastAsia="Arial" w:hAnsi="Arial" w:cs="Arial"/>
          <w:sz w:val="21"/>
          <w:szCs w:val="22"/>
        </w:rPr>
        <w:t>The transcriptome-wide signal was accompanied by marked variability in effect magnitude across cohorts. The median gene-level I² was 86.3% (Fig. 2b), indicating that while a subset of genes showed recurrent directional associations, their effects were not uniform across the heterogeneous source datasets. This pattern is consistent with biological and clinical variation among cohorts and supports interpretation of the meta-analysis as identifying reproducible cross-cohort associations rather than a single invariant lesion transcriptome.</w:t>
      </w:r>
    </w:p>
    <w:p w14:paraId="3DB2BB2D" w14:textId="77777777" w:rsidR="00FC1459" w:rsidRPr="00FC1459" w:rsidRDefault="00FC1459" w:rsidP="00FC1459">
      <w:pPr>
        <w:spacing w:before="200" w:after="80" w:line="276" w:lineRule="auto"/>
        <w:jc w:val="both"/>
        <w:rPr>
          <w:rFonts w:ascii="Arial" w:eastAsia="Arial" w:hAnsi="Arial" w:cs="Arial"/>
          <w:sz w:val="21"/>
          <w:szCs w:val="22"/>
        </w:rPr>
      </w:pPr>
      <w:r w:rsidRPr="00FC1459">
        <w:rPr>
          <w:rFonts w:ascii="Arial" w:eastAsia="Arial" w:hAnsi="Arial" w:cs="Arial"/>
          <w:b/>
          <w:sz w:val="24"/>
          <w:szCs w:val="22"/>
        </w:rPr>
        <w:t>A 66-gene robust core remained Tier-1 after systematic cohort removal</w:t>
      </w:r>
    </w:p>
    <w:p w14:paraId="0CC38684" w14:textId="77777777" w:rsidR="00FC1459" w:rsidRPr="00FC1459" w:rsidRDefault="00FC1459" w:rsidP="00FC1459">
      <w:pPr>
        <w:spacing w:after="140" w:line="269" w:lineRule="auto"/>
        <w:jc w:val="both"/>
        <w:rPr>
          <w:rFonts w:ascii="Arial" w:eastAsia="Arial" w:hAnsi="Arial" w:cs="Arial"/>
          <w:sz w:val="21"/>
          <w:szCs w:val="22"/>
        </w:rPr>
      </w:pPr>
      <w:r w:rsidRPr="00FC1459">
        <w:rPr>
          <w:rFonts w:ascii="Arial" w:eastAsia="Arial" w:hAnsi="Arial" w:cs="Arial"/>
          <w:sz w:val="21"/>
          <w:szCs w:val="22"/>
        </w:rPr>
        <w:t>We next assessed whether Tier-1 membership depended on individual cohorts. Six leave-one-cohort-out analyses, a prespecified analysis excluding GSE7307, a fixed-effects comparison, and two frozen QC-swap replications were performed and reported without suppressing scenarios that reduced Tier-1 retention (Fig. 3; Supplementary Fig. S6; Supplementary Data 3).</w:t>
      </w:r>
    </w:p>
    <w:p w14:paraId="440C2F46" w14:textId="77777777" w:rsidR="00FC1459" w:rsidRPr="00FC1459" w:rsidRDefault="00FC1459" w:rsidP="00FC1459">
      <w:pPr>
        <w:spacing w:after="140" w:line="269" w:lineRule="auto"/>
        <w:jc w:val="both"/>
        <w:rPr>
          <w:rFonts w:ascii="Arial" w:eastAsia="Arial" w:hAnsi="Arial" w:cs="Arial"/>
          <w:sz w:val="21"/>
          <w:szCs w:val="22"/>
        </w:rPr>
      </w:pPr>
      <w:r w:rsidRPr="00FC1459">
        <w:rPr>
          <w:rFonts w:ascii="Arial" w:eastAsia="Arial" w:hAnsi="Arial" w:cs="Arial"/>
          <w:sz w:val="21"/>
          <w:szCs w:val="22"/>
        </w:rPr>
        <w:t>The number of Tier-1 genes retained varied substantially across cohort-removal scenarios. Depending on the omitted cohort, the retained Tier-1 set ranged from 97 to 457 genes; excluding GSE7307 also retained 97 genes. In contrast, the fixed-effects analysis retained 330 Tier-1 genes, whereas both frozen QC-swap replications retained 485 genes. These results show that the larger Tier-1 set was sensitive to cohort composition and model specification, despite technical stability under the prespecified QC swaps.</w:t>
      </w:r>
    </w:p>
    <w:p w14:paraId="227E688C" w14:textId="77777777" w:rsidR="00FC1459" w:rsidRPr="00FC1459" w:rsidRDefault="00FC1459" w:rsidP="00FC1459">
      <w:pPr>
        <w:spacing w:after="140" w:line="269" w:lineRule="auto"/>
        <w:jc w:val="both"/>
        <w:rPr>
          <w:rFonts w:ascii="Arial" w:eastAsia="Arial" w:hAnsi="Arial" w:cs="Arial"/>
          <w:sz w:val="21"/>
          <w:szCs w:val="22"/>
        </w:rPr>
      </w:pPr>
      <w:r w:rsidRPr="00FC1459">
        <w:rPr>
          <w:rFonts w:ascii="Arial" w:eastAsia="Arial" w:hAnsi="Arial" w:cs="Arial"/>
          <w:sz w:val="21"/>
          <w:szCs w:val="22"/>
        </w:rPr>
        <w:t xml:space="preserve">A smaller 66-gene core remained Tier-1 in all six leave-one-cohort-out analyses and in the sans-GSE7307 analysis. This robust core comprised 14 positively associated and 52 negatively associated genes. The positive </w:t>
      </w:r>
      <w:proofErr w:type="gramStart"/>
      <w:r w:rsidRPr="00FC1459">
        <w:rPr>
          <w:rFonts w:ascii="Arial" w:eastAsia="Arial" w:hAnsi="Arial" w:cs="Arial"/>
          <w:sz w:val="21"/>
          <w:szCs w:val="22"/>
        </w:rPr>
        <w:t>component</w:t>
      </w:r>
      <w:proofErr w:type="gramEnd"/>
      <w:r w:rsidRPr="00FC1459">
        <w:rPr>
          <w:rFonts w:ascii="Arial" w:eastAsia="Arial" w:hAnsi="Arial" w:cs="Arial"/>
          <w:sz w:val="21"/>
          <w:szCs w:val="22"/>
        </w:rPr>
        <w:t xml:space="preserve"> included FOS, FOSB, EGR1, IL6, SOCS3 and C1QB, whereas the negative component included genes with cell-cycle, epithelial and structural annotations. Thus, the cohort-removal analyses identified a restricted subset of the primary signal that was consistently retained under all prespecified cohort-deletion scenarios.</w:t>
      </w:r>
    </w:p>
    <w:p w14:paraId="667D8DB6" w14:textId="77777777" w:rsidR="00FC1459" w:rsidRPr="00FC1459" w:rsidRDefault="00FC1459" w:rsidP="00FC1459">
      <w:pPr>
        <w:spacing w:before="200" w:after="80" w:line="276" w:lineRule="auto"/>
        <w:jc w:val="both"/>
        <w:rPr>
          <w:rFonts w:ascii="Arial" w:eastAsia="Arial" w:hAnsi="Arial" w:cs="Arial"/>
          <w:sz w:val="21"/>
          <w:szCs w:val="22"/>
        </w:rPr>
      </w:pPr>
      <w:r w:rsidRPr="00FC1459">
        <w:rPr>
          <w:rFonts w:ascii="Arial" w:eastAsia="Arial" w:hAnsi="Arial" w:cs="Arial"/>
          <w:b/>
          <w:sz w:val="24"/>
          <w:szCs w:val="22"/>
        </w:rPr>
        <w:t>Reduced proliferation was the only significant prespecified pathway-level association</w:t>
      </w:r>
    </w:p>
    <w:p w14:paraId="79B26A90" w14:textId="77777777" w:rsidR="00FC1459" w:rsidRPr="00FC1459" w:rsidRDefault="00FC1459" w:rsidP="00FC1459">
      <w:pPr>
        <w:spacing w:after="140" w:line="269" w:lineRule="auto"/>
        <w:jc w:val="both"/>
        <w:rPr>
          <w:rFonts w:ascii="Arial" w:eastAsia="Arial" w:hAnsi="Arial" w:cs="Arial"/>
          <w:sz w:val="21"/>
          <w:szCs w:val="22"/>
        </w:rPr>
      </w:pPr>
      <w:r w:rsidRPr="00FC1459">
        <w:rPr>
          <w:rFonts w:ascii="Arial" w:eastAsia="Arial" w:hAnsi="Arial" w:cs="Arial"/>
          <w:sz w:val="21"/>
          <w:szCs w:val="22"/>
        </w:rPr>
        <w:t>We next tested six prespecified functional axes using cohort-level pathway scores followed by random-effects meta-analysis: cytotoxicity, antigen presentation, senescence/dormancy, proliferation, stromal extracellular-matrix biology and SenMayo (Fig. 4a; Supplementary Table S2; Supplementary Data 4).</w:t>
      </w:r>
    </w:p>
    <w:p w14:paraId="4CAF0249" w14:textId="77777777" w:rsidR="00FC1459" w:rsidRPr="00FC1459" w:rsidRDefault="00FC1459" w:rsidP="00FC1459">
      <w:pPr>
        <w:spacing w:after="140" w:line="269" w:lineRule="auto"/>
        <w:jc w:val="both"/>
        <w:rPr>
          <w:rFonts w:ascii="Arial" w:eastAsia="Arial" w:hAnsi="Arial" w:cs="Arial"/>
          <w:sz w:val="21"/>
          <w:szCs w:val="22"/>
        </w:rPr>
      </w:pPr>
      <w:r w:rsidRPr="00FC1459">
        <w:rPr>
          <w:rFonts w:ascii="Arial" w:eastAsia="Arial" w:hAnsi="Arial" w:cs="Arial"/>
          <w:sz w:val="21"/>
          <w:szCs w:val="22"/>
        </w:rPr>
        <w:lastRenderedPageBreak/>
        <w:t>Only the proliferation axis met the prespecified multiple-testing threshold. Proliferation was reduced in endometriosis-associated tissue relative to the comparator tissues across the six discovery cohorts (M = −0.806, SE = 0.296, nominal P = 0.0065, BH-FDR = 0.039), with a negative effect direction in five of six cohorts. The pathway retained the same direction in the reserved paired GSE11691 cohort (log2 fold change = −0.441; Fig. 4b; Supplementary Data 5).</w:t>
      </w:r>
    </w:p>
    <w:p w14:paraId="70F77A9D" w14:textId="77777777" w:rsidR="00FC1459" w:rsidRPr="00FC1459" w:rsidRDefault="00FC1459" w:rsidP="00FC1459">
      <w:pPr>
        <w:spacing w:after="140" w:line="269" w:lineRule="auto"/>
        <w:jc w:val="both"/>
        <w:rPr>
          <w:rFonts w:ascii="Arial" w:eastAsia="Arial" w:hAnsi="Arial" w:cs="Arial"/>
          <w:sz w:val="21"/>
          <w:szCs w:val="22"/>
        </w:rPr>
      </w:pPr>
      <w:r w:rsidRPr="00FC1459">
        <w:rPr>
          <w:rFonts w:ascii="Arial" w:eastAsia="Arial" w:hAnsi="Arial" w:cs="Arial"/>
          <w:sz w:val="21"/>
          <w:szCs w:val="22"/>
        </w:rPr>
        <w:t xml:space="preserve">None of the other prespecified axes passed BH-FDR correction. Cytotoxicity showed no pooled association (M = 0.060, BH-FDR = 0.868), and antigen presentation was similarly null at the pooled level (M = −0.025, BH-FDR = 0.868). Senescence/dormancy (M = 0.297, BH-FDR = 0.153), stromal/ECM biology (M = 0.249, BH-FDR = 0.155), and SenMayo (M = 0.156, BH-FDR = 0.150) did not meet the claim threshold. All six pathway estimates displayed substantial between-cohort heterogeneity, with I² values ranging from 67.8% to 89.0%; proliferation itself had I² = 89.0%. These findings therefore support a reproducible reduction in the prespecified proliferation score, while providing no evidence for </w:t>
      </w:r>
      <w:proofErr w:type="gramStart"/>
      <w:r w:rsidRPr="00FC1459">
        <w:rPr>
          <w:rFonts w:ascii="Arial" w:eastAsia="Arial" w:hAnsi="Arial" w:cs="Arial"/>
          <w:sz w:val="21"/>
          <w:szCs w:val="22"/>
        </w:rPr>
        <w:t>a consistent</w:t>
      </w:r>
      <w:proofErr w:type="gramEnd"/>
      <w:r w:rsidRPr="00FC1459">
        <w:rPr>
          <w:rFonts w:ascii="Arial" w:eastAsia="Arial" w:hAnsi="Arial" w:cs="Arial"/>
          <w:sz w:val="21"/>
          <w:szCs w:val="22"/>
        </w:rPr>
        <w:t xml:space="preserve"> pooled activation or suppression of the cytotoxicity or antigen-presentation axes.</w:t>
      </w:r>
    </w:p>
    <w:p w14:paraId="6127DFE8" w14:textId="77777777" w:rsidR="00FC1459" w:rsidRPr="00FC1459" w:rsidRDefault="00FC1459" w:rsidP="00FC1459">
      <w:pPr>
        <w:spacing w:before="200" w:after="80" w:line="276" w:lineRule="auto"/>
        <w:jc w:val="both"/>
        <w:rPr>
          <w:rFonts w:ascii="Arial" w:eastAsia="Arial" w:hAnsi="Arial" w:cs="Arial"/>
          <w:sz w:val="21"/>
          <w:szCs w:val="22"/>
        </w:rPr>
      </w:pPr>
      <w:r w:rsidRPr="00FC1459">
        <w:rPr>
          <w:rFonts w:ascii="Arial" w:eastAsia="Arial" w:hAnsi="Arial" w:cs="Arial"/>
          <w:b/>
          <w:sz w:val="24"/>
          <w:szCs w:val="22"/>
        </w:rPr>
        <w:t>Integrated single-cell analysis localized a restricted set of discovery-stage signals</w:t>
      </w:r>
    </w:p>
    <w:p w14:paraId="51C59F52" w14:textId="77777777" w:rsidR="00FC1459" w:rsidRPr="00FC1459" w:rsidRDefault="00FC1459" w:rsidP="00FC1459">
      <w:pPr>
        <w:spacing w:after="140" w:line="269" w:lineRule="auto"/>
        <w:jc w:val="both"/>
        <w:rPr>
          <w:rFonts w:ascii="Arial" w:eastAsia="Arial" w:hAnsi="Arial" w:cs="Arial"/>
          <w:sz w:val="21"/>
          <w:szCs w:val="22"/>
        </w:rPr>
      </w:pPr>
      <w:r w:rsidRPr="00FC1459">
        <w:rPr>
          <w:rFonts w:ascii="Arial" w:eastAsia="Arial" w:hAnsi="Arial" w:cs="Arial"/>
          <w:sz w:val="21"/>
          <w:szCs w:val="22"/>
        </w:rPr>
        <w:t>We next integrated three single-cell RNA-sequencing datasets to characterize lineage-level localization of the prespecified axis genes. After harmonized cell-level quality control, 233,459 cells from 55 samples were retained: 109,398 cells from GSE179640, 40,801 cells from GSE183837 and 83,260 cells from GSE214411 (Fig. 5a; Supplementary Figs. S2–S5; Supplementary Table S3). The integrated atlas resolved 29 clusters assigned to eight broad lineages: stromal, epithelial, endothelial, perivascular, myeloid, T/NK, B/plasma and mast cells.</w:t>
      </w:r>
    </w:p>
    <w:p w14:paraId="257DF70A" w14:textId="77777777" w:rsidR="00FC1459" w:rsidRPr="00FC1459" w:rsidRDefault="00FC1459" w:rsidP="00FC1459">
      <w:pPr>
        <w:spacing w:after="140" w:line="269" w:lineRule="auto"/>
        <w:jc w:val="both"/>
        <w:rPr>
          <w:rFonts w:ascii="Arial" w:eastAsia="Arial" w:hAnsi="Arial" w:cs="Arial"/>
          <w:sz w:val="21"/>
          <w:szCs w:val="22"/>
        </w:rPr>
      </w:pPr>
      <w:r w:rsidRPr="00FC1459">
        <w:rPr>
          <w:rFonts w:ascii="Arial" w:eastAsia="Arial" w:hAnsi="Arial" w:cs="Arial"/>
          <w:sz w:val="21"/>
          <w:szCs w:val="22"/>
        </w:rPr>
        <w:t xml:space="preserve">To avoid </w:t>
      </w:r>
      <w:proofErr w:type="spellStart"/>
      <w:r w:rsidRPr="00FC1459">
        <w:rPr>
          <w:rFonts w:ascii="Arial" w:eastAsia="Arial" w:hAnsi="Arial" w:cs="Arial"/>
          <w:sz w:val="21"/>
          <w:szCs w:val="22"/>
        </w:rPr>
        <w:t>pseudoreplication</w:t>
      </w:r>
      <w:proofErr w:type="spellEnd"/>
      <w:r w:rsidRPr="00FC1459">
        <w:rPr>
          <w:rFonts w:ascii="Arial" w:eastAsia="Arial" w:hAnsi="Arial" w:cs="Arial"/>
          <w:sz w:val="21"/>
          <w:szCs w:val="22"/>
        </w:rPr>
        <w:t xml:space="preserve">, differential analyses were performed on sample- or donor-level </w:t>
      </w:r>
      <w:proofErr w:type="spellStart"/>
      <w:r w:rsidRPr="00FC1459">
        <w:rPr>
          <w:rFonts w:ascii="Arial" w:eastAsia="Arial" w:hAnsi="Arial" w:cs="Arial"/>
          <w:sz w:val="21"/>
          <w:szCs w:val="22"/>
        </w:rPr>
        <w:t>pseudobulk</w:t>
      </w:r>
      <w:proofErr w:type="spellEnd"/>
      <w:r w:rsidRPr="00FC1459">
        <w:rPr>
          <w:rFonts w:ascii="Arial" w:eastAsia="Arial" w:hAnsi="Arial" w:cs="Arial"/>
          <w:sz w:val="21"/>
          <w:szCs w:val="22"/>
        </w:rPr>
        <w:t xml:space="preserve"> profiles rather than individual cells. Among 715 measured axis-gene-by-lineage tests, 21 met BH-FDR &lt; 0.05, and all significant results were observed in GSE214411 (Fig. 5b; Supplementary Data 6). SERPINE1, the only individual pre-specified axis gene meeting Tier-1 criteria in the bulk meta-analysis, showed positive discovery-stage localization in endothelial and perivascular subclusters. This localization was interpreted as a hypothesis-generating finding because it derived from the </w:t>
      </w:r>
      <w:proofErr w:type="gramStart"/>
      <w:r w:rsidRPr="00FC1459">
        <w:rPr>
          <w:rFonts w:ascii="Arial" w:eastAsia="Arial" w:hAnsi="Arial" w:cs="Arial"/>
          <w:sz w:val="21"/>
          <w:szCs w:val="22"/>
        </w:rPr>
        <w:t>discovery</w:t>
      </w:r>
      <w:proofErr w:type="gramEnd"/>
      <w:r w:rsidRPr="00FC1459">
        <w:rPr>
          <w:rFonts w:ascii="Arial" w:eastAsia="Arial" w:hAnsi="Arial" w:cs="Arial"/>
          <w:sz w:val="21"/>
          <w:szCs w:val="22"/>
        </w:rPr>
        <w:t xml:space="preserve"> single-cell analysis and required independent testing in the validation atlas.</w:t>
      </w:r>
    </w:p>
    <w:p w14:paraId="6C7B03D6" w14:textId="77777777" w:rsidR="00FC1459" w:rsidRPr="00FC1459" w:rsidRDefault="00FC1459" w:rsidP="00FC1459">
      <w:pPr>
        <w:spacing w:before="200" w:after="80" w:line="276" w:lineRule="auto"/>
        <w:jc w:val="both"/>
        <w:rPr>
          <w:rFonts w:ascii="Arial" w:eastAsia="Arial" w:hAnsi="Arial" w:cs="Arial"/>
          <w:sz w:val="21"/>
          <w:szCs w:val="22"/>
        </w:rPr>
      </w:pPr>
      <w:r w:rsidRPr="00FC1459">
        <w:rPr>
          <w:rFonts w:ascii="Arial" w:eastAsia="Arial" w:hAnsi="Arial" w:cs="Arial"/>
          <w:b/>
          <w:sz w:val="24"/>
          <w:szCs w:val="22"/>
        </w:rPr>
        <w:t xml:space="preserve">Independent patient-level validation supports a </w:t>
      </w:r>
      <w:proofErr w:type="gramStart"/>
      <w:r w:rsidRPr="00FC1459">
        <w:rPr>
          <w:rFonts w:ascii="Arial" w:eastAsia="Arial" w:hAnsi="Arial" w:cs="Arial"/>
          <w:b/>
          <w:sz w:val="24"/>
          <w:szCs w:val="22"/>
        </w:rPr>
        <w:t>mural Tier-1</w:t>
      </w:r>
      <w:proofErr w:type="gramEnd"/>
      <w:r w:rsidRPr="00FC1459">
        <w:rPr>
          <w:rFonts w:ascii="Arial" w:eastAsia="Arial" w:hAnsi="Arial" w:cs="Arial"/>
          <w:b/>
          <w:sz w:val="24"/>
          <w:szCs w:val="22"/>
        </w:rPr>
        <w:t xml:space="preserve"> signature but not endothelial SERPINE1 localization</w:t>
      </w:r>
    </w:p>
    <w:p w14:paraId="464F1457" w14:textId="77777777" w:rsidR="00FC1459" w:rsidRPr="00FC1459" w:rsidRDefault="00FC1459" w:rsidP="00FC1459">
      <w:pPr>
        <w:spacing w:after="140" w:line="269" w:lineRule="auto"/>
        <w:jc w:val="both"/>
        <w:rPr>
          <w:rFonts w:ascii="Arial" w:eastAsia="Arial" w:hAnsi="Arial" w:cs="Arial"/>
          <w:sz w:val="21"/>
          <w:szCs w:val="22"/>
        </w:rPr>
      </w:pPr>
      <w:r w:rsidRPr="00FC1459">
        <w:rPr>
          <w:rFonts w:ascii="Arial" w:eastAsia="Arial" w:hAnsi="Arial" w:cs="Arial"/>
          <w:sz w:val="21"/>
          <w:szCs w:val="22"/>
        </w:rPr>
        <w:t xml:space="preserve">We evaluated prespecified validation endpoints in the independent GSE213216 atlas using patient-level </w:t>
      </w:r>
      <w:proofErr w:type="spellStart"/>
      <w:r w:rsidRPr="00FC1459">
        <w:rPr>
          <w:rFonts w:ascii="Arial" w:eastAsia="Arial" w:hAnsi="Arial" w:cs="Arial"/>
          <w:sz w:val="21"/>
          <w:szCs w:val="22"/>
        </w:rPr>
        <w:t>pseudobulk</w:t>
      </w:r>
      <w:proofErr w:type="spellEnd"/>
      <w:r w:rsidRPr="00FC1459">
        <w:rPr>
          <w:rFonts w:ascii="Arial" w:eastAsia="Arial" w:hAnsi="Arial" w:cs="Arial"/>
          <w:sz w:val="21"/>
          <w:szCs w:val="22"/>
        </w:rPr>
        <w:t xml:space="preserve"> profiles. The atlas contained 373,851 cells from 21 patients and yielded 271 patient-by-lineage </w:t>
      </w:r>
      <w:proofErr w:type="spellStart"/>
      <w:r w:rsidRPr="00FC1459">
        <w:rPr>
          <w:rFonts w:ascii="Arial" w:eastAsia="Arial" w:hAnsi="Arial" w:cs="Arial"/>
          <w:sz w:val="21"/>
          <w:szCs w:val="22"/>
        </w:rPr>
        <w:t>pseudobulks</w:t>
      </w:r>
      <w:proofErr w:type="spellEnd"/>
      <w:r w:rsidRPr="00FC1459">
        <w:rPr>
          <w:rFonts w:ascii="Arial" w:eastAsia="Arial" w:hAnsi="Arial" w:cs="Arial"/>
          <w:sz w:val="21"/>
          <w:szCs w:val="22"/>
        </w:rPr>
        <w:t>. Of 195 planned tests, 109 were testable under the predefined minimum patient requirement; the remaining 86 were documented as not testable because a lineage was absent in one or more patients or because an endpoint could not be measured in the relevant stratum (Fig. 6a; Supplementary Fig. S7; Supplementary Data 7).</w:t>
      </w:r>
    </w:p>
    <w:p w14:paraId="62CC2126" w14:textId="77777777" w:rsidR="00FC1459" w:rsidRPr="00FC1459" w:rsidRDefault="00FC1459" w:rsidP="00FC1459">
      <w:pPr>
        <w:spacing w:after="140" w:line="269" w:lineRule="auto"/>
        <w:jc w:val="both"/>
        <w:rPr>
          <w:rFonts w:ascii="Arial" w:eastAsia="Arial" w:hAnsi="Arial" w:cs="Arial"/>
          <w:sz w:val="21"/>
          <w:szCs w:val="22"/>
        </w:rPr>
      </w:pPr>
      <w:r w:rsidRPr="00FC1459">
        <w:rPr>
          <w:rFonts w:ascii="Arial" w:eastAsia="Arial" w:hAnsi="Arial" w:cs="Arial"/>
          <w:sz w:val="21"/>
          <w:szCs w:val="22"/>
        </w:rPr>
        <w:t xml:space="preserve">The Tier-1 directional signature was increased in the smooth-muscle/mural compartment in the ectopic-lesion versus </w:t>
      </w:r>
      <w:proofErr w:type="spellStart"/>
      <w:r w:rsidRPr="00FC1459">
        <w:rPr>
          <w:rFonts w:ascii="Arial" w:eastAsia="Arial" w:hAnsi="Arial" w:cs="Arial"/>
          <w:sz w:val="21"/>
          <w:szCs w:val="22"/>
        </w:rPr>
        <w:t>eutopic</w:t>
      </w:r>
      <w:proofErr w:type="spellEnd"/>
      <w:r w:rsidRPr="00FC1459">
        <w:rPr>
          <w:rFonts w:ascii="Arial" w:eastAsia="Arial" w:hAnsi="Arial" w:cs="Arial"/>
          <w:sz w:val="21"/>
          <w:szCs w:val="22"/>
        </w:rPr>
        <w:t>-endometrium comparison (Δ = 0.613, Wilcoxon P = 2.72 × 10</w:t>
      </w:r>
      <w:r w:rsidRPr="00FC1459">
        <w:rPr>
          <w:rFonts w:ascii="Cambria Math" w:eastAsia="Arial" w:hAnsi="Cambria Math" w:cs="Cambria Math"/>
          <w:sz w:val="21"/>
          <w:szCs w:val="22"/>
        </w:rPr>
        <w:t>⁻</w:t>
      </w:r>
      <w:r w:rsidRPr="00FC1459">
        <w:rPr>
          <w:rFonts w:ascii="Arial" w:eastAsia="Arial" w:hAnsi="Arial" w:cs="Arial"/>
          <w:sz w:val="21"/>
          <w:szCs w:val="22"/>
        </w:rPr>
        <w:t xml:space="preserve">⁴, BH-FDR = 0.0297; 17 lesion and 10 </w:t>
      </w:r>
      <w:proofErr w:type="spellStart"/>
      <w:r w:rsidRPr="00FC1459">
        <w:rPr>
          <w:rFonts w:ascii="Arial" w:eastAsia="Arial" w:hAnsi="Arial" w:cs="Arial"/>
          <w:sz w:val="21"/>
          <w:szCs w:val="22"/>
        </w:rPr>
        <w:t>eutopic</w:t>
      </w:r>
      <w:proofErr w:type="spellEnd"/>
      <w:r w:rsidRPr="00FC1459">
        <w:rPr>
          <w:rFonts w:ascii="Arial" w:eastAsia="Arial" w:hAnsi="Arial" w:cs="Arial"/>
          <w:sz w:val="21"/>
          <w:szCs w:val="22"/>
        </w:rPr>
        <w:t xml:space="preserve"> patient-level </w:t>
      </w:r>
      <w:proofErr w:type="spellStart"/>
      <w:r w:rsidRPr="00FC1459">
        <w:rPr>
          <w:rFonts w:ascii="Arial" w:eastAsia="Arial" w:hAnsi="Arial" w:cs="Arial"/>
          <w:sz w:val="21"/>
          <w:szCs w:val="22"/>
        </w:rPr>
        <w:t>pseudobulks</w:t>
      </w:r>
      <w:proofErr w:type="spellEnd"/>
      <w:r w:rsidRPr="00FC1459">
        <w:rPr>
          <w:rFonts w:ascii="Arial" w:eastAsia="Arial" w:hAnsi="Arial" w:cs="Arial"/>
          <w:sz w:val="21"/>
          <w:szCs w:val="22"/>
        </w:rPr>
        <w:t>; Fig. 6b). This was the sole endpoint that met the prespecified BH-FDR threshold across the full validation testing family. The result remained significant after excluding patients shared between comparison arms in the independent-patient sensitivity analysis (P = 0.00318).</w:t>
      </w:r>
    </w:p>
    <w:p w14:paraId="4C209CF3" w14:textId="77777777" w:rsidR="00FC1459" w:rsidRPr="00FC1459" w:rsidRDefault="00FC1459" w:rsidP="00FC1459">
      <w:pPr>
        <w:spacing w:after="140" w:line="269" w:lineRule="auto"/>
        <w:jc w:val="both"/>
        <w:rPr>
          <w:rFonts w:ascii="Arial" w:eastAsia="Arial" w:hAnsi="Arial" w:cs="Arial"/>
          <w:sz w:val="21"/>
          <w:szCs w:val="22"/>
        </w:rPr>
      </w:pPr>
      <w:r w:rsidRPr="00FC1459">
        <w:rPr>
          <w:rFonts w:ascii="Arial" w:eastAsia="Arial" w:hAnsi="Arial" w:cs="Arial"/>
          <w:sz w:val="21"/>
          <w:szCs w:val="22"/>
        </w:rPr>
        <w:t xml:space="preserve">The broader validation pattern did not support </w:t>
      </w:r>
      <w:proofErr w:type="spellStart"/>
      <w:r w:rsidRPr="00FC1459">
        <w:rPr>
          <w:rFonts w:ascii="Arial" w:eastAsia="Arial" w:hAnsi="Arial" w:cs="Arial"/>
          <w:sz w:val="21"/>
          <w:szCs w:val="22"/>
        </w:rPr>
        <w:t>generalisation</w:t>
      </w:r>
      <w:proofErr w:type="spellEnd"/>
      <w:r w:rsidRPr="00FC1459">
        <w:rPr>
          <w:rFonts w:ascii="Arial" w:eastAsia="Arial" w:hAnsi="Arial" w:cs="Arial"/>
          <w:sz w:val="21"/>
          <w:szCs w:val="22"/>
        </w:rPr>
        <w:t xml:space="preserve"> of the signal across all lineages. For example, the Tier-1 signature showed nominal associations in endothelial, epithelial and </w:t>
      </w:r>
      <w:r w:rsidRPr="00FC1459">
        <w:rPr>
          <w:rFonts w:ascii="Arial" w:eastAsia="Arial" w:hAnsi="Arial" w:cs="Arial"/>
          <w:sz w:val="21"/>
          <w:szCs w:val="22"/>
        </w:rPr>
        <w:lastRenderedPageBreak/>
        <w:t xml:space="preserve">mesenchymal compartments, but these did not meet the prespecified BH-FDR threshold. Likewise, none of the six pathway scores passed BH-FDR correction in the C1 validation contrast. This reinforces that the independent evidence is strongest for a mural-compartment Tier-1 signature rather than for a universal cross-lineage </w:t>
      </w:r>
      <w:proofErr w:type="spellStart"/>
      <w:r w:rsidRPr="00FC1459">
        <w:rPr>
          <w:rFonts w:ascii="Arial" w:eastAsia="Arial" w:hAnsi="Arial" w:cs="Arial"/>
          <w:sz w:val="21"/>
          <w:szCs w:val="22"/>
        </w:rPr>
        <w:t>programme</w:t>
      </w:r>
      <w:proofErr w:type="spellEnd"/>
      <w:r w:rsidRPr="00FC1459">
        <w:rPr>
          <w:rFonts w:ascii="Arial" w:eastAsia="Arial" w:hAnsi="Arial" w:cs="Arial"/>
          <w:sz w:val="21"/>
          <w:szCs w:val="22"/>
        </w:rPr>
        <w:t>.</w:t>
      </w:r>
    </w:p>
    <w:p w14:paraId="1A31F092" w14:textId="77777777" w:rsidR="00FC1459" w:rsidRPr="00FC1459" w:rsidRDefault="00FC1459" w:rsidP="00FC1459">
      <w:pPr>
        <w:spacing w:after="140" w:line="269" w:lineRule="auto"/>
        <w:jc w:val="both"/>
        <w:rPr>
          <w:rFonts w:ascii="Arial" w:eastAsia="Arial" w:hAnsi="Arial" w:cs="Arial"/>
          <w:sz w:val="21"/>
          <w:szCs w:val="22"/>
        </w:rPr>
      </w:pPr>
      <w:r w:rsidRPr="00FC1459">
        <w:rPr>
          <w:rFonts w:ascii="Arial" w:eastAsia="Arial" w:hAnsi="Arial" w:cs="Arial"/>
          <w:sz w:val="21"/>
          <w:szCs w:val="22"/>
        </w:rPr>
        <w:t xml:space="preserve">The discovery-stage vascular localization hypothesis for SERPINE1 was not replicated. In endothelial cells, SERPINE1 expression showed a negative median difference between ectopic and </w:t>
      </w:r>
      <w:proofErr w:type="spellStart"/>
      <w:r w:rsidRPr="00FC1459">
        <w:rPr>
          <w:rFonts w:ascii="Arial" w:eastAsia="Arial" w:hAnsi="Arial" w:cs="Arial"/>
          <w:sz w:val="21"/>
          <w:szCs w:val="22"/>
        </w:rPr>
        <w:t>eutopic</w:t>
      </w:r>
      <w:proofErr w:type="spellEnd"/>
      <w:r w:rsidRPr="00FC1459">
        <w:rPr>
          <w:rFonts w:ascii="Arial" w:eastAsia="Arial" w:hAnsi="Arial" w:cs="Arial"/>
          <w:sz w:val="21"/>
          <w:szCs w:val="22"/>
        </w:rPr>
        <w:t xml:space="preserve"> tissue (Δ = −0.296, BH-FDR = 0.634). SERPINE1 also did not show a significant result in smooth-muscle cells (Δ = −0.253, BH-FDR = 0.895). Exploratory endothelial-subcluster analyses did not identify enrichment in the predicted direction. Thus, the external atlas supported a mural Tier-1 signature but did not support stable endothelial or vascular-niche localization of SERPINE1.</w:t>
      </w:r>
    </w:p>
    <w:p w14:paraId="08E6BFCC" w14:textId="77777777" w:rsidR="00FC1459" w:rsidRPr="00FC1459" w:rsidRDefault="00FC1459" w:rsidP="00FC1459">
      <w:pPr>
        <w:spacing w:before="200" w:after="80" w:line="276" w:lineRule="auto"/>
        <w:jc w:val="both"/>
        <w:rPr>
          <w:rFonts w:ascii="Arial" w:eastAsia="Arial" w:hAnsi="Arial" w:cs="Arial"/>
          <w:sz w:val="21"/>
          <w:szCs w:val="22"/>
        </w:rPr>
      </w:pPr>
      <w:r w:rsidRPr="00FC1459">
        <w:rPr>
          <w:rFonts w:ascii="Arial" w:eastAsia="Arial" w:hAnsi="Arial" w:cs="Arial"/>
          <w:b/>
          <w:sz w:val="24"/>
          <w:szCs w:val="22"/>
        </w:rPr>
        <w:t>Perturbational analyses did not confirm reversal of the lesion-associated signature</w:t>
      </w:r>
    </w:p>
    <w:p w14:paraId="1758B5C6" w14:textId="77777777" w:rsidR="00FC1459" w:rsidRPr="00FC1459" w:rsidRDefault="00FC1459" w:rsidP="00FC1459">
      <w:pPr>
        <w:spacing w:after="140" w:line="269" w:lineRule="auto"/>
        <w:jc w:val="both"/>
        <w:rPr>
          <w:rFonts w:ascii="Arial" w:eastAsia="Arial" w:hAnsi="Arial" w:cs="Arial"/>
          <w:sz w:val="21"/>
          <w:szCs w:val="22"/>
        </w:rPr>
      </w:pPr>
      <w:r w:rsidRPr="00FC1459">
        <w:rPr>
          <w:rFonts w:ascii="Arial" w:eastAsia="Arial" w:hAnsi="Arial" w:cs="Arial"/>
          <w:sz w:val="21"/>
          <w:szCs w:val="22"/>
        </w:rPr>
        <w:t>We finally assessed whether available L1000 perturbational signatures supported preregistered reversal hypotheses. The Tier-1 set had limited direct L1000 coverage: 46 of 485 Tier-1 genes were landmark genes, while 48 of 66 robust-core genes were represented in the broader L1000 annotation and eight robust-core genes were directly represented as landmark genes (Supplementary Fig. S8a; Supplementary Data 9).</w:t>
      </w:r>
    </w:p>
    <w:p w14:paraId="41423D67" w14:textId="77777777" w:rsidR="00FC1459" w:rsidRPr="00FC1459" w:rsidRDefault="00FC1459" w:rsidP="00FC1459">
      <w:pPr>
        <w:spacing w:after="140" w:line="269" w:lineRule="auto"/>
        <w:jc w:val="both"/>
        <w:rPr>
          <w:rFonts w:ascii="Arial" w:eastAsia="Arial" w:hAnsi="Arial" w:cs="Arial"/>
          <w:sz w:val="21"/>
          <w:szCs w:val="22"/>
        </w:rPr>
      </w:pPr>
      <w:r w:rsidRPr="00FC1459">
        <w:rPr>
          <w:rFonts w:ascii="Arial" w:eastAsia="Arial" w:hAnsi="Arial" w:cs="Arial"/>
          <w:sz w:val="21"/>
          <w:szCs w:val="22"/>
        </w:rPr>
        <w:t xml:space="preserve">Across seven cell lines, SERPINE1 knockdown did not produce a consistent reversal of the 46-gene lesion-associated Tier-1 landmark signature (one-sided P = 0.234, BH-FDR = 0.313). The preregistered proliferation-direction hypothesis for SERPINE1 knockdown was also unsupported (P = 1.000, BH-FDR = 1.000). Across ten cell lines, estradiol signatures did not show a confirmed negative correlation with the lesion Tier-1 signature (P = 0.216, BH-FDR = 0.313). Estradiol showed a nominal positive association with the proliferation readout (P = 0.0322), but this did not survive correction across the four preregistered hypotheses (BH-FDR = 0.129). Accordingly, none of the four preregistered LINCS reversal hypotheses </w:t>
      </w:r>
      <w:proofErr w:type="gramStart"/>
      <w:r w:rsidRPr="00FC1459">
        <w:rPr>
          <w:rFonts w:ascii="Arial" w:eastAsia="Arial" w:hAnsi="Arial" w:cs="Arial"/>
          <w:sz w:val="21"/>
          <w:szCs w:val="22"/>
        </w:rPr>
        <w:t>was</w:t>
      </w:r>
      <w:proofErr w:type="gramEnd"/>
      <w:r w:rsidRPr="00FC1459">
        <w:rPr>
          <w:rFonts w:ascii="Arial" w:eastAsia="Arial" w:hAnsi="Arial" w:cs="Arial"/>
          <w:sz w:val="21"/>
          <w:szCs w:val="22"/>
        </w:rPr>
        <w:t xml:space="preserve"> confirmed (Supplementary Fig. S8</w:t>
      </w:r>
      <w:proofErr w:type="gramStart"/>
      <w:r w:rsidRPr="00FC1459">
        <w:rPr>
          <w:rFonts w:ascii="Arial" w:eastAsia="Arial" w:hAnsi="Arial" w:cs="Arial"/>
          <w:sz w:val="21"/>
          <w:szCs w:val="22"/>
        </w:rPr>
        <w:t>b,c</w:t>
      </w:r>
      <w:proofErr w:type="gramEnd"/>
      <w:r w:rsidRPr="00FC1459">
        <w:rPr>
          <w:rFonts w:ascii="Arial" w:eastAsia="Arial" w:hAnsi="Arial" w:cs="Arial"/>
          <w:sz w:val="21"/>
          <w:szCs w:val="22"/>
        </w:rPr>
        <w:t>).</w:t>
      </w:r>
    </w:p>
    <w:p w14:paraId="253A7568" w14:textId="77777777" w:rsidR="00FC1459" w:rsidRPr="00FC1459" w:rsidRDefault="00FC1459" w:rsidP="00FC1459">
      <w:pPr>
        <w:spacing w:after="140" w:line="269" w:lineRule="auto"/>
        <w:jc w:val="both"/>
        <w:rPr>
          <w:rFonts w:ascii="Arial" w:eastAsia="Arial" w:hAnsi="Arial" w:cs="Arial"/>
          <w:sz w:val="21"/>
          <w:szCs w:val="22"/>
        </w:rPr>
      </w:pPr>
      <w:r w:rsidRPr="00FC1459">
        <w:rPr>
          <w:rFonts w:ascii="Arial" w:eastAsia="Arial" w:hAnsi="Arial" w:cs="Arial"/>
          <w:sz w:val="21"/>
          <w:szCs w:val="22"/>
        </w:rPr>
        <w:t xml:space="preserve">Exploratory paired decidualization analyses of GSE75423 and GSE75425 were interpreted separately because the experimental condition combined </w:t>
      </w:r>
      <w:proofErr w:type="spellStart"/>
      <w:r w:rsidRPr="00FC1459">
        <w:rPr>
          <w:rFonts w:ascii="Arial" w:eastAsia="Arial" w:hAnsi="Arial" w:cs="Arial"/>
          <w:sz w:val="21"/>
          <w:szCs w:val="22"/>
        </w:rPr>
        <w:t>dienogest</w:t>
      </w:r>
      <w:proofErr w:type="spellEnd"/>
      <w:r w:rsidRPr="00FC1459">
        <w:rPr>
          <w:rFonts w:ascii="Arial" w:eastAsia="Arial" w:hAnsi="Arial" w:cs="Arial"/>
          <w:sz w:val="21"/>
          <w:szCs w:val="22"/>
        </w:rPr>
        <w:t xml:space="preserve"> with </w:t>
      </w:r>
      <w:proofErr w:type="spellStart"/>
      <w:r w:rsidRPr="00FC1459">
        <w:rPr>
          <w:rFonts w:ascii="Arial" w:eastAsia="Arial" w:hAnsi="Arial" w:cs="Arial"/>
          <w:sz w:val="21"/>
          <w:szCs w:val="22"/>
        </w:rPr>
        <w:t>dibutyryl</w:t>
      </w:r>
      <w:proofErr w:type="spellEnd"/>
      <w:r w:rsidRPr="00FC1459">
        <w:rPr>
          <w:rFonts w:ascii="Arial" w:eastAsia="Arial" w:hAnsi="Arial" w:cs="Arial"/>
          <w:sz w:val="21"/>
          <w:szCs w:val="22"/>
        </w:rPr>
        <w:t xml:space="preserve">-cAMP and therefore could not isolate the effect of </w:t>
      </w:r>
      <w:proofErr w:type="spellStart"/>
      <w:r w:rsidRPr="00FC1459">
        <w:rPr>
          <w:rFonts w:ascii="Arial" w:eastAsia="Arial" w:hAnsi="Arial" w:cs="Arial"/>
          <w:sz w:val="21"/>
          <w:szCs w:val="22"/>
        </w:rPr>
        <w:t>dienogest</w:t>
      </w:r>
      <w:proofErr w:type="spellEnd"/>
      <w:r w:rsidRPr="00FC1459">
        <w:rPr>
          <w:rFonts w:ascii="Arial" w:eastAsia="Arial" w:hAnsi="Arial" w:cs="Arial"/>
          <w:sz w:val="21"/>
          <w:szCs w:val="22"/>
        </w:rPr>
        <w:t>. Across the 290 Tier-1 genes represented on the platform, the lesion-associated meta-analytic signature was positively correlated with the decidualization-response signatures in both endometriotic cyst stromal cells (r = 0.199, bootstrap 95% CI 0.071–0.328) and normal endometrial stromal cells (r = 0.224, bootstrap 95% CI 0.120–0.316). Because positive correlations indicate movement in the same—not opposite—direction as the lesion-associated signature, these exploratory analyses did not provide evidence of transcriptional reversal (Supplementary Fig. S9).</w:t>
      </w:r>
    </w:p>
    <w:p w14:paraId="091C6CB6" w14:textId="77777777" w:rsidR="00B815BF" w:rsidRDefault="00B815BF" w:rsidP="00FC1459">
      <w:pPr>
        <w:jc w:val="both"/>
        <w:rPr>
          <w:rFonts w:asciiTheme="majorBidi" w:hAnsiTheme="majorBidi" w:cstheme="majorBidi"/>
          <w:b/>
          <w:bCs/>
          <w:sz w:val="28"/>
          <w:szCs w:val="28"/>
          <w:rtl/>
        </w:rPr>
      </w:pPr>
    </w:p>
    <w:p w14:paraId="3E74C5FF" w14:textId="77777777" w:rsidR="00FC1459" w:rsidRPr="00FC1459" w:rsidRDefault="00FC1459" w:rsidP="00FC1459">
      <w:pPr>
        <w:spacing w:after="200" w:line="276" w:lineRule="auto"/>
        <w:rPr>
          <w:rFonts w:ascii="Arial" w:eastAsia="Arial" w:hAnsi="Arial" w:cs="Arial"/>
          <w:sz w:val="21"/>
          <w:szCs w:val="22"/>
        </w:rPr>
      </w:pPr>
      <w:r w:rsidRPr="00FC1459">
        <w:rPr>
          <w:rFonts w:ascii="Arial" w:eastAsia="Arial" w:hAnsi="Arial" w:cs="Arial"/>
          <w:b/>
          <w:sz w:val="32"/>
          <w:szCs w:val="22"/>
        </w:rPr>
        <w:t>Discussion</w:t>
      </w:r>
    </w:p>
    <w:p w14:paraId="20DCA0CE" w14:textId="77777777" w:rsidR="00FC1459" w:rsidRPr="00FC1459" w:rsidRDefault="00FC1459" w:rsidP="00FC1459">
      <w:pPr>
        <w:spacing w:after="140" w:line="269" w:lineRule="auto"/>
        <w:rPr>
          <w:rFonts w:ascii="Arial" w:eastAsia="Arial" w:hAnsi="Arial" w:cs="Arial"/>
          <w:sz w:val="21"/>
          <w:szCs w:val="22"/>
        </w:rPr>
      </w:pPr>
      <w:r w:rsidRPr="00FC1459">
        <w:rPr>
          <w:rFonts w:ascii="Arial" w:eastAsia="Arial" w:hAnsi="Arial" w:cs="Arial"/>
          <w:sz w:val="21"/>
          <w:szCs w:val="22"/>
        </w:rPr>
        <w:t>Endometriosis is a heterogeneous, estrogen-responsive and chronic inflammatory disorder in which lesion establishment, persistence and clinical expression are likely to arise from interacting hormonal, immune, vascular, stromal and extracellular-matrix processes rather than from a single dominant mechanism (Zondervan et al., 2020; Becker et al., 2022; Chen et al., 2023). Although transcriptomic studies have repeatedly reported dysregulated inflammatory, angiogenic, fibrotic and hormone-responsive pathways, the biological interpretation of individual datasets remains challenging because lesion site, disease subtype, menstrual-cycle phase, treatment exposure, tissue composition and analytical design differ markedly between cohorts (</w:t>
      </w:r>
      <w:proofErr w:type="spellStart"/>
      <w:r w:rsidRPr="00FC1459">
        <w:rPr>
          <w:rFonts w:ascii="Arial" w:eastAsia="Arial" w:hAnsi="Arial" w:cs="Arial"/>
          <w:sz w:val="21"/>
          <w:szCs w:val="22"/>
        </w:rPr>
        <w:t>Vercellini</w:t>
      </w:r>
      <w:proofErr w:type="spellEnd"/>
      <w:r w:rsidRPr="00FC1459">
        <w:rPr>
          <w:rFonts w:ascii="Arial" w:eastAsia="Arial" w:hAnsi="Arial" w:cs="Arial"/>
          <w:sz w:val="21"/>
          <w:szCs w:val="22"/>
        </w:rPr>
        <w:t xml:space="preserve"> et al., 2021; Marla et al., 2023). Our study was designed to address this problem directly. By </w:t>
      </w:r>
      <w:proofErr w:type="gramStart"/>
      <w:r w:rsidRPr="00FC1459">
        <w:rPr>
          <w:rFonts w:ascii="Arial" w:eastAsia="Arial" w:hAnsi="Arial" w:cs="Arial"/>
          <w:sz w:val="21"/>
          <w:szCs w:val="22"/>
        </w:rPr>
        <w:lastRenderedPageBreak/>
        <w:t>integrating</w:t>
      </w:r>
      <w:proofErr w:type="gramEnd"/>
      <w:r w:rsidRPr="00FC1459">
        <w:rPr>
          <w:rFonts w:ascii="Arial" w:eastAsia="Arial" w:hAnsi="Arial" w:cs="Arial"/>
          <w:sz w:val="21"/>
          <w:szCs w:val="22"/>
        </w:rPr>
        <w:t xml:space="preserve"> independently processed bulk datasets, testing robustness to cohort removal, localizing discovery-stage signals in single-cell data and evaluating prespecified endpoints in an external patient-level atlas, we aimed to distinguish broadly associated molecular signals from those that remain reproducible across analytical and cohort-level perturbations.</w:t>
      </w:r>
    </w:p>
    <w:p w14:paraId="4B11B828" w14:textId="77777777" w:rsidR="00FC1459" w:rsidRPr="00FC1459" w:rsidRDefault="00FC1459" w:rsidP="00FC1459">
      <w:pPr>
        <w:spacing w:after="140" w:line="269" w:lineRule="auto"/>
        <w:rPr>
          <w:rFonts w:ascii="Arial" w:eastAsia="Arial" w:hAnsi="Arial" w:cs="Arial"/>
          <w:sz w:val="21"/>
          <w:szCs w:val="22"/>
        </w:rPr>
      </w:pPr>
      <w:r w:rsidRPr="00FC1459">
        <w:rPr>
          <w:rFonts w:ascii="Arial" w:eastAsia="Arial" w:hAnsi="Arial" w:cs="Arial"/>
          <w:sz w:val="21"/>
          <w:szCs w:val="22"/>
        </w:rPr>
        <w:t>The principal finding is that endometriosis-associated tissue does not exhibit a single invariant transcriptomic identity. The primary random-effects analysis identified 485 Tier-1 genes; however, the median gene-level I² of 86.3% indicated substantial variation in effect size among cohorts. Such heterogeneity is biologically plausible. Ovarian endometriomas, superficial peritoneal lesions and deep infiltrating lesions differ in anatomical context, cellular composition, fibrosis, vascular organization, iron exposure and interaction with adjacent tissues, and increasingly appear to represent biologically distinct lesion states rather than merely different anatomical manifestations of the same condition (</w:t>
      </w:r>
      <w:proofErr w:type="spellStart"/>
      <w:r w:rsidRPr="00FC1459">
        <w:rPr>
          <w:rFonts w:ascii="Arial" w:eastAsia="Arial" w:hAnsi="Arial" w:cs="Arial"/>
          <w:sz w:val="21"/>
          <w:szCs w:val="22"/>
        </w:rPr>
        <w:t>Vercellini</w:t>
      </w:r>
      <w:proofErr w:type="spellEnd"/>
      <w:r w:rsidRPr="00FC1459">
        <w:rPr>
          <w:rFonts w:ascii="Arial" w:eastAsia="Arial" w:hAnsi="Arial" w:cs="Arial"/>
          <w:sz w:val="21"/>
          <w:szCs w:val="22"/>
        </w:rPr>
        <w:t xml:space="preserve"> et al., 2021; Marla et al., 2023). Consequently, heterogeneity should not be treated only as a statistical inconvenience or as a reason to dismiss cross-cohort signals. Instead, it provides evidence that the lesion-associated phenotype is context dependent.</w:t>
      </w:r>
    </w:p>
    <w:p w14:paraId="01D2AEA7" w14:textId="77777777" w:rsidR="00FC1459" w:rsidRPr="00FC1459" w:rsidRDefault="00FC1459" w:rsidP="00FC1459">
      <w:pPr>
        <w:spacing w:after="140" w:line="269" w:lineRule="auto"/>
        <w:rPr>
          <w:rFonts w:ascii="Arial" w:eastAsia="Arial" w:hAnsi="Arial" w:cs="Arial"/>
          <w:sz w:val="21"/>
          <w:szCs w:val="22"/>
        </w:rPr>
      </w:pPr>
      <w:r w:rsidRPr="00FC1459">
        <w:rPr>
          <w:rFonts w:ascii="Arial" w:eastAsia="Arial" w:hAnsi="Arial" w:cs="Arial"/>
          <w:sz w:val="21"/>
          <w:szCs w:val="22"/>
        </w:rPr>
        <w:t xml:space="preserve">Within this heterogeneous landscape, the 66-gene robust core was especially informative because it remained Tier-1 in every leave-one-cohort-out analysis and after the prespecified exclusion of GSE7307. This core offers a deliberately conservative representation of the molecular component least dependent on a particular cohort or study design. It included immediate-early and stress-responsive genes, including FOS, FOSB, EGR1, SOCS3 and IL6, as well as a larger negatively associated component with epithelial, structural and cell-cycle-related annotations. Immediate-early transcriptional </w:t>
      </w:r>
      <w:proofErr w:type="spellStart"/>
      <w:r w:rsidRPr="00FC1459">
        <w:rPr>
          <w:rFonts w:ascii="Arial" w:eastAsia="Arial" w:hAnsi="Arial" w:cs="Arial"/>
          <w:sz w:val="21"/>
          <w:szCs w:val="22"/>
        </w:rPr>
        <w:t>programmes</w:t>
      </w:r>
      <w:proofErr w:type="spellEnd"/>
      <w:r w:rsidRPr="00FC1459">
        <w:rPr>
          <w:rFonts w:ascii="Arial" w:eastAsia="Arial" w:hAnsi="Arial" w:cs="Arial"/>
          <w:sz w:val="21"/>
          <w:szCs w:val="22"/>
        </w:rPr>
        <w:t xml:space="preserve"> can be triggered by cytokines, growth factors, hypoxia, mechanical cues and cell–matrix interactions; therefore, their recurrence should not be interpreted as proof of one universal upstream pathway. Rather, it suggests that diverse endometriosis-associated tissues repeatedly converge on adaptive transcriptional states linked to injury, </w:t>
      </w:r>
      <w:proofErr w:type="spellStart"/>
      <w:r w:rsidRPr="00FC1459">
        <w:rPr>
          <w:rFonts w:ascii="Arial" w:eastAsia="Arial" w:hAnsi="Arial" w:cs="Arial"/>
          <w:sz w:val="21"/>
          <w:szCs w:val="22"/>
        </w:rPr>
        <w:t>remodelling</w:t>
      </w:r>
      <w:proofErr w:type="spellEnd"/>
      <w:r w:rsidRPr="00FC1459">
        <w:rPr>
          <w:rFonts w:ascii="Arial" w:eastAsia="Arial" w:hAnsi="Arial" w:cs="Arial"/>
          <w:sz w:val="21"/>
          <w:szCs w:val="22"/>
        </w:rPr>
        <w:t xml:space="preserve"> and persistent microenvironmental </w:t>
      </w:r>
      <w:proofErr w:type="spellStart"/>
      <w:r w:rsidRPr="00FC1459">
        <w:rPr>
          <w:rFonts w:ascii="Arial" w:eastAsia="Arial" w:hAnsi="Arial" w:cs="Arial"/>
          <w:sz w:val="21"/>
          <w:szCs w:val="22"/>
        </w:rPr>
        <w:t>signalling</w:t>
      </w:r>
      <w:proofErr w:type="spellEnd"/>
      <w:r w:rsidRPr="00FC1459">
        <w:rPr>
          <w:rFonts w:ascii="Arial" w:eastAsia="Arial" w:hAnsi="Arial" w:cs="Arial"/>
          <w:sz w:val="21"/>
          <w:szCs w:val="22"/>
        </w:rPr>
        <w:t>.</w:t>
      </w:r>
    </w:p>
    <w:p w14:paraId="0A82E129" w14:textId="77777777" w:rsidR="00FC1459" w:rsidRPr="00FC1459" w:rsidRDefault="00FC1459" w:rsidP="00FC1459">
      <w:pPr>
        <w:spacing w:after="140" w:line="269" w:lineRule="auto"/>
        <w:rPr>
          <w:rFonts w:ascii="Arial" w:eastAsia="Arial" w:hAnsi="Arial" w:cs="Arial"/>
          <w:sz w:val="21"/>
          <w:szCs w:val="22"/>
        </w:rPr>
      </w:pPr>
      <w:r w:rsidRPr="00FC1459">
        <w:rPr>
          <w:rFonts w:ascii="Arial" w:eastAsia="Arial" w:hAnsi="Arial" w:cs="Arial"/>
          <w:sz w:val="21"/>
          <w:szCs w:val="22"/>
        </w:rPr>
        <w:t xml:space="preserve">The pathway analysis further refines this interpretation. Reduced proliferation was the only prespecified pathway-level association that survived multiple-testing correction, and its direction was retained in the reserved paired GSE11691 cohort. This observation challenges the simplified expectation that established endometriosis lesions should uniformly display higher tissue-wide proliferation. It does not exclude focal proliferation in selected epithelial, stromal or progenitor-like populations, nor does it imply that proliferation is irrelevant to lesion initiation. Instead, it indicates that a generalized bulk-level proliferative </w:t>
      </w:r>
      <w:proofErr w:type="spellStart"/>
      <w:r w:rsidRPr="00FC1459">
        <w:rPr>
          <w:rFonts w:ascii="Arial" w:eastAsia="Arial" w:hAnsi="Arial" w:cs="Arial"/>
          <w:sz w:val="21"/>
          <w:szCs w:val="22"/>
        </w:rPr>
        <w:t>programme</w:t>
      </w:r>
      <w:proofErr w:type="spellEnd"/>
      <w:r w:rsidRPr="00FC1459">
        <w:rPr>
          <w:rFonts w:ascii="Arial" w:eastAsia="Arial" w:hAnsi="Arial" w:cs="Arial"/>
          <w:sz w:val="21"/>
          <w:szCs w:val="22"/>
        </w:rPr>
        <w:t xml:space="preserve"> was not consistently increased across the evaluated cohorts. The transcriptional state of a mature lesion may therefore differ substantially from the biological processes that enable implantation or early expansion. Once established, lesion persistence may rely more heavily on survival, altered differentiation, tissue </w:t>
      </w:r>
      <w:proofErr w:type="spellStart"/>
      <w:r w:rsidRPr="00FC1459">
        <w:rPr>
          <w:rFonts w:ascii="Arial" w:eastAsia="Arial" w:hAnsi="Arial" w:cs="Arial"/>
          <w:sz w:val="21"/>
          <w:szCs w:val="22"/>
        </w:rPr>
        <w:t>remodelling</w:t>
      </w:r>
      <w:proofErr w:type="spellEnd"/>
      <w:r w:rsidRPr="00FC1459">
        <w:rPr>
          <w:rFonts w:ascii="Arial" w:eastAsia="Arial" w:hAnsi="Arial" w:cs="Arial"/>
          <w:sz w:val="21"/>
          <w:szCs w:val="22"/>
        </w:rPr>
        <w:t>, vascular support and resistance to clearance than on sustained global cell-cycle activation.</w:t>
      </w:r>
    </w:p>
    <w:p w14:paraId="5A04A6FB" w14:textId="77777777" w:rsidR="00FC1459" w:rsidRPr="00FC1459" w:rsidRDefault="00FC1459" w:rsidP="00FC1459">
      <w:pPr>
        <w:spacing w:after="140" w:line="269" w:lineRule="auto"/>
        <w:rPr>
          <w:rFonts w:ascii="Arial" w:eastAsia="Arial" w:hAnsi="Arial" w:cs="Arial"/>
          <w:sz w:val="21"/>
          <w:szCs w:val="22"/>
        </w:rPr>
      </w:pPr>
      <w:r w:rsidRPr="00FC1459">
        <w:rPr>
          <w:rFonts w:ascii="Arial" w:eastAsia="Arial" w:hAnsi="Arial" w:cs="Arial"/>
          <w:sz w:val="21"/>
          <w:szCs w:val="22"/>
        </w:rPr>
        <w:t xml:space="preserve">This interpretation is compatible with the increasingly recognized importance of fibrosis and lesion architecture in endometriosis. Fibrosis is not a secondary histological feature alone; it may contribute to lesion rigidity, adhesion formation, altered cell–matrix </w:t>
      </w:r>
      <w:proofErr w:type="spellStart"/>
      <w:r w:rsidRPr="00FC1459">
        <w:rPr>
          <w:rFonts w:ascii="Arial" w:eastAsia="Arial" w:hAnsi="Arial" w:cs="Arial"/>
          <w:sz w:val="21"/>
          <w:szCs w:val="22"/>
        </w:rPr>
        <w:t>signalling</w:t>
      </w:r>
      <w:proofErr w:type="spellEnd"/>
      <w:r w:rsidRPr="00FC1459">
        <w:rPr>
          <w:rFonts w:ascii="Arial" w:eastAsia="Arial" w:hAnsi="Arial" w:cs="Arial"/>
          <w:sz w:val="21"/>
          <w:szCs w:val="22"/>
        </w:rPr>
        <w:t xml:space="preserve">, neurovascular </w:t>
      </w:r>
      <w:proofErr w:type="spellStart"/>
      <w:r w:rsidRPr="00FC1459">
        <w:rPr>
          <w:rFonts w:ascii="Arial" w:eastAsia="Arial" w:hAnsi="Arial" w:cs="Arial"/>
          <w:sz w:val="21"/>
          <w:szCs w:val="22"/>
        </w:rPr>
        <w:t>remodelling</w:t>
      </w:r>
      <w:proofErr w:type="spellEnd"/>
      <w:r w:rsidRPr="00FC1459">
        <w:rPr>
          <w:rFonts w:ascii="Arial" w:eastAsia="Arial" w:hAnsi="Arial" w:cs="Arial"/>
          <w:sz w:val="21"/>
          <w:szCs w:val="22"/>
        </w:rPr>
        <w:t xml:space="preserve"> and pain-associated tissue dysfunction (Vissers et al., 2024). Repeated </w:t>
      </w:r>
      <w:proofErr w:type="spellStart"/>
      <w:r w:rsidRPr="00FC1459">
        <w:rPr>
          <w:rFonts w:ascii="Arial" w:eastAsia="Arial" w:hAnsi="Arial" w:cs="Arial"/>
          <w:sz w:val="21"/>
          <w:szCs w:val="22"/>
        </w:rPr>
        <w:t>haemorrhage</w:t>
      </w:r>
      <w:proofErr w:type="spellEnd"/>
      <w:r w:rsidRPr="00FC1459">
        <w:rPr>
          <w:rFonts w:ascii="Arial" w:eastAsia="Arial" w:hAnsi="Arial" w:cs="Arial"/>
          <w:sz w:val="21"/>
          <w:szCs w:val="22"/>
        </w:rPr>
        <w:t xml:space="preserve">, inflammatory </w:t>
      </w:r>
      <w:proofErr w:type="spellStart"/>
      <w:r w:rsidRPr="00FC1459">
        <w:rPr>
          <w:rFonts w:ascii="Arial" w:eastAsia="Arial" w:hAnsi="Arial" w:cs="Arial"/>
          <w:sz w:val="21"/>
          <w:szCs w:val="22"/>
        </w:rPr>
        <w:t>signalling</w:t>
      </w:r>
      <w:proofErr w:type="spellEnd"/>
      <w:r w:rsidRPr="00FC1459">
        <w:rPr>
          <w:rFonts w:ascii="Arial" w:eastAsia="Arial" w:hAnsi="Arial" w:cs="Arial"/>
          <w:sz w:val="21"/>
          <w:szCs w:val="22"/>
        </w:rPr>
        <w:t>, activation of fibroblasts or myofibroblasts and abnormal extracellular-matrix turnover can reinforce a local tissue niche that supports lesion persistence. Our stromal/ECM pathway did not pass the prespecified BH-FDR threshold, and the present data cannot establish a causal fibrotic mechanism. Nevertheless, the combination of reduced bulk proliferation and a validated mural-associated signal is compatible with a model in which the most reproducible component of established lesion biology is related to structural adaptation and local tissue support rather than to uniform hyperproliferation.</w:t>
      </w:r>
    </w:p>
    <w:p w14:paraId="7F86C7C8" w14:textId="77777777" w:rsidR="00FC1459" w:rsidRPr="00FC1459" w:rsidRDefault="00FC1459" w:rsidP="00FC1459">
      <w:pPr>
        <w:spacing w:after="140" w:line="269" w:lineRule="auto"/>
        <w:rPr>
          <w:rFonts w:ascii="Arial" w:eastAsia="Arial" w:hAnsi="Arial" w:cs="Arial"/>
          <w:sz w:val="21"/>
          <w:szCs w:val="22"/>
        </w:rPr>
      </w:pPr>
      <w:r w:rsidRPr="00FC1459">
        <w:rPr>
          <w:rFonts w:ascii="Arial" w:eastAsia="Arial" w:hAnsi="Arial" w:cs="Arial"/>
          <w:sz w:val="21"/>
          <w:szCs w:val="22"/>
        </w:rPr>
        <w:lastRenderedPageBreak/>
        <w:t xml:space="preserve">Immune biology remains central to endometriosis, but our results argue against representing it as a uniform transcriptomic </w:t>
      </w:r>
      <w:proofErr w:type="spellStart"/>
      <w:r w:rsidRPr="00FC1459">
        <w:rPr>
          <w:rFonts w:ascii="Arial" w:eastAsia="Arial" w:hAnsi="Arial" w:cs="Arial"/>
          <w:sz w:val="21"/>
          <w:szCs w:val="22"/>
        </w:rPr>
        <w:t>programme</w:t>
      </w:r>
      <w:proofErr w:type="spellEnd"/>
      <w:r w:rsidRPr="00FC1459">
        <w:rPr>
          <w:rFonts w:ascii="Arial" w:eastAsia="Arial" w:hAnsi="Arial" w:cs="Arial"/>
          <w:sz w:val="21"/>
          <w:szCs w:val="22"/>
        </w:rPr>
        <w:t xml:space="preserve"> across all lesions. The peritoneal immune microenvironment includes macrophages, NK cells, T cells, B cells, dendritic cells, neutrophils and diverse cytokine networks that may influence implantation, vascularization, neuroinflammation, fibrosis and incomplete clearance of ectopic endometrial material (Chen et al., 2023; Huang et al., 2023; Liu et al., 2023). However, neither the prespecified cytotoxicity nor antigen-presentation pathway showed a consistent pooled association after multiple-testing correction in the present study. This finding should not be read as evidence against immune involvement. Rather, it suggests that the specific pathway definitions tested here were not directionally stable across the sampled biological contexts. Immune effects may be lesion-type-specific, spatially restricted, dependent on hormonal milieu, represented by changes in cell abundance rather than within-cell transcriptional activation, or confined to subpopulations not resolvable in bulk tissue.</w:t>
      </w:r>
    </w:p>
    <w:p w14:paraId="70AB480D" w14:textId="77777777" w:rsidR="00FC1459" w:rsidRPr="00FC1459" w:rsidRDefault="00FC1459" w:rsidP="00FC1459">
      <w:pPr>
        <w:spacing w:after="140" w:line="269" w:lineRule="auto"/>
        <w:rPr>
          <w:rFonts w:ascii="Arial" w:eastAsia="Arial" w:hAnsi="Arial" w:cs="Arial"/>
          <w:sz w:val="21"/>
          <w:szCs w:val="22"/>
        </w:rPr>
      </w:pPr>
      <w:r w:rsidRPr="00FC1459">
        <w:rPr>
          <w:rFonts w:ascii="Arial" w:eastAsia="Arial" w:hAnsi="Arial" w:cs="Arial"/>
          <w:sz w:val="21"/>
          <w:szCs w:val="22"/>
        </w:rPr>
        <w:t xml:space="preserve">Recent single-cell studies support this view by demonstrating that endometriosis is composed of distinct epithelial, stromal, endothelial, immune and mesothelial states whose transcriptional programs vary by lesion site and disease subtype. Fonseca et al. (2023) generated a large cellular atlas across endometriosis lesions, endometriomas, </w:t>
      </w:r>
      <w:proofErr w:type="spellStart"/>
      <w:r w:rsidRPr="00FC1459">
        <w:rPr>
          <w:rFonts w:ascii="Arial" w:eastAsia="Arial" w:hAnsi="Arial" w:cs="Arial"/>
          <w:sz w:val="21"/>
          <w:szCs w:val="22"/>
        </w:rPr>
        <w:t>eutopic</w:t>
      </w:r>
      <w:proofErr w:type="spellEnd"/>
      <w:r w:rsidRPr="00FC1459">
        <w:rPr>
          <w:rFonts w:ascii="Arial" w:eastAsia="Arial" w:hAnsi="Arial" w:cs="Arial"/>
          <w:sz w:val="21"/>
          <w:szCs w:val="22"/>
        </w:rPr>
        <w:t xml:space="preserve"> endometrium and uninvolved tissues, revealing marked tissue-specific </w:t>
      </w:r>
      <w:proofErr w:type="spellStart"/>
      <w:r w:rsidRPr="00FC1459">
        <w:rPr>
          <w:rFonts w:ascii="Arial" w:eastAsia="Arial" w:hAnsi="Arial" w:cs="Arial"/>
          <w:sz w:val="21"/>
          <w:szCs w:val="22"/>
        </w:rPr>
        <w:t>remodelling</w:t>
      </w:r>
      <w:proofErr w:type="spellEnd"/>
      <w:r w:rsidRPr="00FC1459">
        <w:rPr>
          <w:rFonts w:ascii="Arial" w:eastAsia="Arial" w:hAnsi="Arial" w:cs="Arial"/>
          <w:sz w:val="21"/>
          <w:szCs w:val="22"/>
        </w:rPr>
        <w:t xml:space="preserve"> of epithelial, stromal and microenvironmental populations. In parallel, Tan et al. (2023) identified subtype-dependent alterations in epithelial, stromal, immune and endothelial compartments, including inflammatory, angiogenic, cytotoxicity-related and estrogen-responsive states. Single-cell analysis of peritoneal and ovarian lesions has also reported coordinated </w:t>
      </w:r>
      <w:proofErr w:type="spellStart"/>
      <w:r w:rsidRPr="00FC1459">
        <w:rPr>
          <w:rFonts w:ascii="Arial" w:eastAsia="Arial" w:hAnsi="Arial" w:cs="Arial"/>
          <w:sz w:val="21"/>
          <w:szCs w:val="22"/>
        </w:rPr>
        <w:t>programmes</w:t>
      </w:r>
      <w:proofErr w:type="spellEnd"/>
      <w:r w:rsidRPr="00FC1459">
        <w:rPr>
          <w:rFonts w:ascii="Arial" w:eastAsia="Arial" w:hAnsi="Arial" w:cs="Arial"/>
          <w:sz w:val="21"/>
          <w:szCs w:val="22"/>
        </w:rPr>
        <w:t xml:space="preserve"> related to immunotolerance and angiogenesis across </w:t>
      </w:r>
      <w:proofErr w:type="spellStart"/>
      <w:r w:rsidRPr="00FC1459">
        <w:rPr>
          <w:rFonts w:ascii="Arial" w:eastAsia="Arial" w:hAnsi="Arial" w:cs="Arial"/>
          <w:sz w:val="21"/>
          <w:szCs w:val="22"/>
        </w:rPr>
        <w:t>eutopic</w:t>
      </w:r>
      <w:proofErr w:type="spellEnd"/>
      <w:r w:rsidRPr="00FC1459">
        <w:rPr>
          <w:rFonts w:ascii="Arial" w:eastAsia="Arial" w:hAnsi="Arial" w:cs="Arial"/>
          <w:sz w:val="21"/>
          <w:szCs w:val="22"/>
        </w:rPr>
        <w:t xml:space="preserve"> and ectopic tissues (Wang et al., 2022). Collectively, these studies demonstrate why a lesion-level bulk signal is unlikely to map directly onto one cell type or one universal mechanism.</w:t>
      </w:r>
    </w:p>
    <w:p w14:paraId="75F8196C" w14:textId="77777777" w:rsidR="00FC1459" w:rsidRPr="00FC1459" w:rsidRDefault="00FC1459" w:rsidP="00FC1459">
      <w:pPr>
        <w:spacing w:after="140" w:line="269" w:lineRule="auto"/>
        <w:rPr>
          <w:rFonts w:ascii="Arial" w:eastAsia="Arial" w:hAnsi="Arial" w:cs="Arial"/>
          <w:sz w:val="21"/>
          <w:szCs w:val="22"/>
        </w:rPr>
      </w:pPr>
      <w:r w:rsidRPr="00FC1459">
        <w:rPr>
          <w:rFonts w:ascii="Arial" w:eastAsia="Arial" w:hAnsi="Arial" w:cs="Arial"/>
          <w:sz w:val="21"/>
          <w:szCs w:val="22"/>
        </w:rPr>
        <w:t xml:space="preserve">Our single-cell analyses were consequently used to localize candidate signals, not to infer causality from discovery-stage expression alone. SERPINE1 was the only prespecified axis gene that also fulfilled the bulk Tier-1 criteria, and it showed positive discovery-stage localization within endothelial and perivascular subclusters. This was biologically plausible because plasminogen activator inhibitor-1 participates in extracellular-matrix turnover, proteolytic balance, cell migration and vascular </w:t>
      </w:r>
      <w:proofErr w:type="spellStart"/>
      <w:r w:rsidRPr="00FC1459">
        <w:rPr>
          <w:rFonts w:ascii="Arial" w:eastAsia="Arial" w:hAnsi="Arial" w:cs="Arial"/>
          <w:sz w:val="21"/>
          <w:szCs w:val="22"/>
        </w:rPr>
        <w:t>remodelling</w:t>
      </w:r>
      <w:proofErr w:type="spellEnd"/>
      <w:r w:rsidRPr="00FC1459">
        <w:rPr>
          <w:rFonts w:ascii="Arial" w:eastAsia="Arial" w:hAnsi="Arial" w:cs="Arial"/>
          <w:sz w:val="21"/>
          <w:szCs w:val="22"/>
        </w:rPr>
        <w:t>. Angiogenesis is an established component of endometriosis pathophysiology and is influenced by hormonal, inflammatory and cytokine-related regulation (Bo and Wang, 2024). However, the external patient-level atlas did not replicate increased SERPINE1 in endothelial or smooth-muscle cells, and exploratory endothelial-subcluster analyses did not reproduce the predicted direction. Accordingly, SERPINE1 should be regarded as a discovery-stage candidate rather than a stable, externally validated vascular driver of endometriosis.</w:t>
      </w:r>
    </w:p>
    <w:p w14:paraId="49F44A6E" w14:textId="77777777" w:rsidR="00FC1459" w:rsidRPr="00FC1459" w:rsidRDefault="00FC1459" w:rsidP="00FC1459">
      <w:pPr>
        <w:spacing w:after="140" w:line="269" w:lineRule="auto"/>
        <w:rPr>
          <w:rFonts w:ascii="Arial" w:eastAsia="Arial" w:hAnsi="Arial" w:cs="Arial"/>
          <w:sz w:val="21"/>
          <w:szCs w:val="22"/>
        </w:rPr>
      </w:pPr>
      <w:r w:rsidRPr="00FC1459">
        <w:rPr>
          <w:rFonts w:ascii="Arial" w:eastAsia="Arial" w:hAnsi="Arial" w:cs="Arial"/>
          <w:sz w:val="21"/>
          <w:szCs w:val="22"/>
        </w:rPr>
        <w:t xml:space="preserve">The strongest independent validation instead involved the complete Tier-1 directional signature, which was increased in the smooth-muscle/mural compartment in ectopic lesions relative to </w:t>
      </w:r>
      <w:proofErr w:type="spellStart"/>
      <w:r w:rsidRPr="00FC1459">
        <w:rPr>
          <w:rFonts w:ascii="Arial" w:eastAsia="Arial" w:hAnsi="Arial" w:cs="Arial"/>
          <w:sz w:val="21"/>
          <w:szCs w:val="22"/>
        </w:rPr>
        <w:t>eutopic</w:t>
      </w:r>
      <w:proofErr w:type="spellEnd"/>
      <w:r w:rsidRPr="00FC1459">
        <w:rPr>
          <w:rFonts w:ascii="Arial" w:eastAsia="Arial" w:hAnsi="Arial" w:cs="Arial"/>
          <w:sz w:val="21"/>
          <w:szCs w:val="22"/>
        </w:rPr>
        <w:t xml:space="preserve"> endometrium. This result remained significant after excluding shared patients between comparison groups, strengthening confidence that it was not explained by within-patient dependence. Mural cells occupy the interface between vascular structure, blood-flow regulation, endothelial support, extracellular-matrix organization and local tissue mechanics. Their location makes them plausible participants in a chronically </w:t>
      </w:r>
      <w:proofErr w:type="spellStart"/>
      <w:r w:rsidRPr="00FC1459">
        <w:rPr>
          <w:rFonts w:ascii="Arial" w:eastAsia="Arial" w:hAnsi="Arial" w:cs="Arial"/>
          <w:sz w:val="21"/>
          <w:szCs w:val="22"/>
        </w:rPr>
        <w:t>remodelled</w:t>
      </w:r>
      <w:proofErr w:type="spellEnd"/>
      <w:r w:rsidRPr="00FC1459">
        <w:rPr>
          <w:rFonts w:ascii="Arial" w:eastAsia="Arial" w:hAnsi="Arial" w:cs="Arial"/>
          <w:sz w:val="21"/>
          <w:szCs w:val="22"/>
        </w:rPr>
        <w:t xml:space="preserve"> lesion microenvironment. The mural association therefore offers a biologically coherent link between the robust bulk signature and the structural–vascular adaptation of ectopic tissue.</w:t>
      </w:r>
    </w:p>
    <w:p w14:paraId="3BD84417" w14:textId="77777777" w:rsidR="00FC1459" w:rsidRPr="00FC1459" w:rsidRDefault="00FC1459" w:rsidP="00FC1459">
      <w:pPr>
        <w:spacing w:after="140" w:line="269" w:lineRule="auto"/>
        <w:rPr>
          <w:rFonts w:ascii="Arial" w:eastAsia="Arial" w:hAnsi="Arial" w:cs="Arial"/>
          <w:sz w:val="21"/>
          <w:szCs w:val="22"/>
        </w:rPr>
      </w:pPr>
      <w:r w:rsidRPr="00FC1459">
        <w:rPr>
          <w:rFonts w:ascii="Arial" w:eastAsia="Arial" w:hAnsi="Arial" w:cs="Arial"/>
          <w:sz w:val="21"/>
          <w:szCs w:val="22"/>
        </w:rPr>
        <w:t xml:space="preserve">This observation aligns with recent evidence that vascular-associated compartments are particularly dynamic in endometriosis. </w:t>
      </w:r>
      <w:proofErr w:type="spellStart"/>
      <w:r w:rsidRPr="00FC1459">
        <w:rPr>
          <w:rFonts w:ascii="Arial" w:eastAsia="Arial" w:hAnsi="Arial" w:cs="Arial"/>
          <w:sz w:val="21"/>
          <w:szCs w:val="22"/>
        </w:rPr>
        <w:t>Sarsenova</w:t>
      </w:r>
      <w:proofErr w:type="spellEnd"/>
      <w:r w:rsidRPr="00FC1459">
        <w:rPr>
          <w:rFonts w:ascii="Arial" w:eastAsia="Arial" w:hAnsi="Arial" w:cs="Arial"/>
          <w:sz w:val="21"/>
          <w:szCs w:val="22"/>
        </w:rPr>
        <w:t xml:space="preserve"> et al. (2024) reported that metabolic pathway differences between ectopic lesions and paired </w:t>
      </w:r>
      <w:proofErr w:type="spellStart"/>
      <w:r w:rsidRPr="00FC1459">
        <w:rPr>
          <w:rFonts w:ascii="Arial" w:eastAsia="Arial" w:hAnsi="Arial" w:cs="Arial"/>
          <w:sz w:val="21"/>
          <w:szCs w:val="22"/>
        </w:rPr>
        <w:t>eutopic</w:t>
      </w:r>
      <w:proofErr w:type="spellEnd"/>
      <w:r w:rsidRPr="00FC1459">
        <w:rPr>
          <w:rFonts w:ascii="Arial" w:eastAsia="Arial" w:hAnsi="Arial" w:cs="Arial"/>
          <w:sz w:val="21"/>
          <w:szCs w:val="22"/>
        </w:rPr>
        <w:t xml:space="preserve"> endometrium were most pronounced in perivascular, stromal and endothelial cell populations, including coordinated changes in </w:t>
      </w:r>
      <w:r w:rsidRPr="00FC1459">
        <w:rPr>
          <w:rFonts w:ascii="Arial" w:eastAsia="Arial" w:hAnsi="Arial" w:cs="Arial"/>
          <w:sz w:val="21"/>
          <w:szCs w:val="22"/>
        </w:rPr>
        <w:lastRenderedPageBreak/>
        <w:t xml:space="preserve">glycolysis, oxidative phosphorylation, hypoxia-associated pathways and AMPK </w:t>
      </w:r>
      <w:proofErr w:type="spellStart"/>
      <w:r w:rsidRPr="00FC1459">
        <w:rPr>
          <w:rFonts w:ascii="Arial" w:eastAsia="Arial" w:hAnsi="Arial" w:cs="Arial"/>
          <w:sz w:val="21"/>
          <w:szCs w:val="22"/>
        </w:rPr>
        <w:t>signalling</w:t>
      </w:r>
      <w:proofErr w:type="spellEnd"/>
      <w:r w:rsidRPr="00FC1459">
        <w:rPr>
          <w:rFonts w:ascii="Arial" w:eastAsia="Arial" w:hAnsi="Arial" w:cs="Arial"/>
          <w:sz w:val="21"/>
          <w:szCs w:val="22"/>
        </w:rPr>
        <w:t xml:space="preserve">. Similarly, single-cell analyses have described lesion endothelial states characterized by pro-inflammatory, angiogenic and altered-permeability programs, with variation across endometriosis subtypes (Tan et al., 2023). Our study does not directly test metabolic activity, vessel function or spatial cell–cell interaction. However, </w:t>
      </w:r>
      <w:proofErr w:type="gramStart"/>
      <w:r w:rsidRPr="00FC1459">
        <w:rPr>
          <w:rFonts w:ascii="Arial" w:eastAsia="Arial" w:hAnsi="Arial" w:cs="Arial"/>
          <w:sz w:val="21"/>
          <w:szCs w:val="22"/>
        </w:rPr>
        <w:t>the external</w:t>
      </w:r>
      <w:proofErr w:type="gramEnd"/>
      <w:r w:rsidRPr="00FC1459">
        <w:rPr>
          <w:rFonts w:ascii="Arial" w:eastAsia="Arial" w:hAnsi="Arial" w:cs="Arial"/>
          <w:sz w:val="21"/>
          <w:szCs w:val="22"/>
        </w:rPr>
        <w:t xml:space="preserve"> mural-cell validation is consistent with the possibility that vascular-associated structural cells contribute to the adapted tissue niche of established lesions.</w:t>
      </w:r>
    </w:p>
    <w:p w14:paraId="72B8EFEF" w14:textId="77777777" w:rsidR="00FC1459" w:rsidRPr="00FC1459" w:rsidRDefault="00FC1459" w:rsidP="00FC1459">
      <w:pPr>
        <w:spacing w:after="140" w:line="269" w:lineRule="auto"/>
        <w:rPr>
          <w:rFonts w:ascii="Arial" w:eastAsia="Arial" w:hAnsi="Arial" w:cs="Arial"/>
          <w:sz w:val="21"/>
          <w:szCs w:val="22"/>
        </w:rPr>
      </w:pPr>
      <w:r w:rsidRPr="00FC1459">
        <w:rPr>
          <w:rFonts w:ascii="Arial" w:eastAsia="Arial" w:hAnsi="Arial" w:cs="Arial"/>
          <w:sz w:val="21"/>
          <w:szCs w:val="22"/>
        </w:rPr>
        <w:t xml:space="preserve">The strength of this inference lies in its boundaries. Our data </w:t>
      </w:r>
      <w:proofErr w:type="gramStart"/>
      <w:r w:rsidRPr="00FC1459">
        <w:rPr>
          <w:rFonts w:ascii="Arial" w:eastAsia="Arial" w:hAnsi="Arial" w:cs="Arial"/>
          <w:sz w:val="21"/>
          <w:szCs w:val="22"/>
        </w:rPr>
        <w:t>do</w:t>
      </w:r>
      <w:proofErr w:type="gramEnd"/>
      <w:r w:rsidRPr="00FC1459">
        <w:rPr>
          <w:rFonts w:ascii="Arial" w:eastAsia="Arial" w:hAnsi="Arial" w:cs="Arial"/>
          <w:sz w:val="21"/>
          <w:szCs w:val="22"/>
        </w:rPr>
        <w:t xml:space="preserve"> not show that mural cells initiate lesion formation, cause fibrosis, drive angiogenesis or determine pain. Nor do they establish that mural cells are the only biologically important compartment. Rather, they identify the smooth-muscle/mural lineage as the compartment in which the integrated Tier-1 directional signature was most reproducibly detected in an independent atlas. This distinction is important because </w:t>
      </w:r>
      <w:proofErr w:type="spellStart"/>
      <w:r w:rsidRPr="00FC1459">
        <w:rPr>
          <w:rFonts w:ascii="Arial" w:eastAsia="Arial" w:hAnsi="Arial" w:cs="Arial"/>
          <w:sz w:val="21"/>
          <w:szCs w:val="22"/>
        </w:rPr>
        <w:t>scRNA</w:t>
      </w:r>
      <w:proofErr w:type="spellEnd"/>
      <w:r w:rsidRPr="00FC1459">
        <w:rPr>
          <w:rFonts w:ascii="Arial" w:eastAsia="Arial" w:hAnsi="Arial" w:cs="Arial"/>
          <w:sz w:val="21"/>
          <w:szCs w:val="22"/>
        </w:rPr>
        <w:t xml:space="preserve">-seq datasets can generate apparently strong statistical signals when individual cells are treated as independent observations. By conducting differential analyses on sample- or patient-level </w:t>
      </w:r>
      <w:proofErr w:type="spellStart"/>
      <w:r w:rsidRPr="00FC1459">
        <w:rPr>
          <w:rFonts w:ascii="Arial" w:eastAsia="Arial" w:hAnsi="Arial" w:cs="Arial"/>
          <w:sz w:val="21"/>
          <w:szCs w:val="22"/>
        </w:rPr>
        <w:t>pseudobulk</w:t>
      </w:r>
      <w:proofErr w:type="spellEnd"/>
      <w:r w:rsidRPr="00FC1459">
        <w:rPr>
          <w:rFonts w:ascii="Arial" w:eastAsia="Arial" w:hAnsi="Arial" w:cs="Arial"/>
          <w:sz w:val="21"/>
          <w:szCs w:val="22"/>
        </w:rPr>
        <w:t xml:space="preserve"> profiles, we aligned the unit of inference with the biological unit of replication and reduced the risk of </w:t>
      </w:r>
      <w:proofErr w:type="spellStart"/>
      <w:r w:rsidRPr="00FC1459">
        <w:rPr>
          <w:rFonts w:ascii="Arial" w:eastAsia="Arial" w:hAnsi="Arial" w:cs="Arial"/>
          <w:sz w:val="21"/>
          <w:szCs w:val="22"/>
        </w:rPr>
        <w:t>pseudoreplication</w:t>
      </w:r>
      <w:proofErr w:type="spellEnd"/>
      <w:r w:rsidRPr="00FC1459">
        <w:rPr>
          <w:rFonts w:ascii="Arial" w:eastAsia="Arial" w:hAnsi="Arial" w:cs="Arial"/>
          <w:sz w:val="21"/>
          <w:szCs w:val="22"/>
        </w:rPr>
        <w:t>. This approach is particularly important in endometriosis, where cell composition and local tissue architecture vary substantially between patients and lesions.</w:t>
      </w:r>
    </w:p>
    <w:p w14:paraId="3BD98BE6" w14:textId="77777777" w:rsidR="00FC1459" w:rsidRPr="00FC1459" w:rsidRDefault="00FC1459" w:rsidP="00FC1459">
      <w:pPr>
        <w:spacing w:after="140" w:line="269" w:lineRule="auto"/>
        <w:rPr>
          <w:rFonts w:ascii="Arial" w:eastAsia="Arial" w:hAnsi="Arial" w:cs="Arial"/>
          <w:sz w:val="21"/>
          <w:szCs w:val="22"/>
        </w:rPr>
      </w:pPr>
      <w:r w:rsidRPr="00FC1459">
        <w:rPr>
          <w:rFonts w:ascii="Arial" w:eastAsia="Arial" w:hAnsi="Arial" w:cs="Arial"/>
          <w:sz w:val="21"/>
          <w:szCs w:val="22"/>
        </w:rPr>
        <w:t xml:space="preserve">The perturbational analyses further refine the translational interpretation of the data. Neither SERPINE1 knockdown nor estradiol-associated L1000 perturbational signatures consistently reversed the lesion-associated Tier-1 landmark signature after correction for multiple testing. The exploratory decidualization analyses also showed positive rather than inverse relationships with the lesion-associated signature. These observations do not diminish the established importance of estrogen </w:t>
      </w:r>
      <w:proofErr w:type="spellStart"/>
      <w:r w:rsidRPr="00FC1459">
        <w:rPr>
          <w:rFonts w:ascii="Arial" w:eastAsia="Arial" w:hAnsi="Arial" w:cs="Arial"/>
          <w:sz w:val="21"/>
          <w:szCs w:val="22"/>
        </w:rPr>
        <w:t>signalling</w:t>
      </w:r>
      <w:proofErr w:type="spellEnd"/>
      <w:r w:rsidRPr="00FC1459">
        <w:rPr>
          <w:rFonts w:ascii="Arial" w:eastAsia="Arial" w:hAnsi="Arial" w:cs="Arial"/>
          <w:sz w:val="21"/>
          <w:szCs w:val="22"/>
        </w:rPr>
        <w:t xml:space="preserve"> in endometriosis, nor do they exclude context-specific roles for fibrinolytic regulation or SERPINE1. Hormonal suppression remains a central component of symptom-directed treatment, as reflected in current clinical guidance (Becker et al., 2022). However, the current evidence does not support the stronger claim that SERPINE1 inhibition or estradiol perturbation reverses the reproducible lesion-associated transcriptional state. This distinction is essential if transcriptomic association is to be translated responsibly into therapeutic hypotheses.</w:t>
      </w:r>
    </w:p>
    <w:p w14:paraId="23D8DBEF" w14:textId="77777777" w:rsidR="00FC1459" w:rsidRPr="00FC1459" w:rsidRDefault="00FC1459" w:rsidP="00FC1459">
      <w:pPr>
        <w:spacing w:before="200" w:after="80" w:line="276" w:lineRule="auto"/>
        <w:rPr>
          <w:rFonts w:ascii="Arial" w:eastAsia="Arial" w:hAnsi="Arial" w:cs="Arial"/>
          <w:sz w:val="21"/>
          <w:szCs w:val="22"/>
        </w:rPr>
      </w:pPr>
      <w:r w:rsidRPr="00FC1459">
        <w:rPr>
          <w:rFonts w:ascii="Arial" w:eastAsia="Arial" w:hAnsi="Arial" w:cs="Arial"/>
          <w:b/>
          <w:sz w:val="24"/>
          <w:szCs w:val="22"/>
        </w:rPr>
        <w:t>Limitations</w:t>
      </w:r>
    </w:p>
    <w:p w14:paraId="517A3072" w14:textId="77777777" w:rsidR="00FC1459" w:rsidRPr="00FC1459" w:rsidRDefault="00FC1459" w:rsidP="00FC1459">
      <w:pPr>
        <w:spacing w:after="140" w:line="269" w:lineRule="auto"/>
        <w:rPr>
          <w:rFonts w:ascii="Arial" w:eastAsia="Arial" w:hAnsi="Arial" w:cs="Arial"/>
          <w:sz w:val="21"/>
          <w:szCs w:val="22"/>
        </w:rPr>
      </w:pPr>
      <w:r w:rsidRPr="00FC1459">
        <w:rPr>
          <w:rFonts w:ascii="Arial" w:eastAsia="Arial" w:hAnsi="Arial" w:cs="Arial"/>
          <w:sz w:val="21"/>
          <w:szCs w:val="22"/>
        </w:rPr>
        <w:t>The discovery cohorts differed in lesion site, comparator tissue, clinical metadata, technical platform and tissue composition; random-effects modelling and cohort-deletion analyses reduce, but cannot eliminate, residual confounding. Bulk profiles cannot distinguish shifts in cellular abundance from within-cell transcriptional regulation, and menstrual-cycle phase, medication exposure, disease severity and prior treatment were not uniformly available. Patient numbers were limited in some lineage-by-condition single-cell strata, and the mural association remains observational without spatial or functional confirmation. Finally, the pathway results apply to the six prespecified signatures, whereas the L1000 analyses were constrained by landmark-gene coverage and cell-line context.</w:t>
      </w:r>
    </w:p>
    <w:p w14:paraId="57A17056" w14:textId="77777777" w:rsidR="00FC1459" w:rsidRPr="00FC1459" w:rsidRDefault="00FC1459" w:rsidP="00FC1459">
      <w:pPr>
        <w:spacing w:before="200" w:after="80" w:line="276" w:lineRule="auto"/>
        <w:rPr>
          <w:rFonts w:ascii="Arial" w:eastAsia="Arial" w:hAnsi="Arial" w:cs="Arial"/>
          <w:sz w:val="21"/>
          <w:szCs w:val="22"/>
        </w:rPr>
      </w:pPr>
      <w:r w:rsidRPr="00FC1459">
        <w:rPr>
          <w:rFonts w:ascii="Arial" w:eastAsia="Arial" w:hAnsi="Arial" w:cs="Arial"/>
          <w:b/>
          <w:sz w:val="24"/>
          <w:szCs w:val="22"/>
        </w:rPr>
        <w:t>Conclusion</w:t>
      </w:r>
    </w:p>
    <w:p w14:paraId="675F74CC" w14:textId="77777777" w:rsidR="00FC1459" w:rsidRPr="00FC1459" w:rsidRDefault="00FC1459" w:rsidP="00FC1459">
      <w:pPr>
        <w:spacing w:after="140" w:line="269" w:lineRule="auto"/>
        <w:rPr>
          <w:rFonts w:ascii="Arial" w:eastAsia="Arial" w:hAnsi="Arial" w:cs="Arial"/>
          <w:sz w:val="21"/>
          <w:szCs w:val="22"/>
        </w:rPr>
      </w:pPr>
      <w:r w:rsidRPr="00FC1459">
        <w:rPr>
          <w:rFonts w:ascii="Arial" w:eastAsia="Arial" w:hAnsi="Arial" w:cs="Arial"/>
          <w:sz w:val="21"/>
          <w:szCs w:val="22"/>
        </w:rPr>
        <w:t xml:space="preserve">In conclusion, our study identifies a reproducible but restricted transcriptional component of endometriosis-associated tissue within a markedly heterogeneous molecular landscape. The major advance is not the proposal of a single universal molecular mechanism. Instead, it is the separation of broad cross-cohort associations from a smaller robust core that withstands cohort removal, followed by cell-type localization and independent patient-level validation. Within this framework, reduced proliferation was the only prespecified pathway-level association that met the corrected threshold, while the strongest external validation localized the Tier-1 signature to the smooth-muscle/mural compartment. These results support a model in which established </w:t>
      </w:r>
      <w:r w:rsidRPr="00FC1459">
        <w:rPr>
          <w:rFonts w:ascii="Arial" w:eastAsia="Arial" w:hAnsi="Arial" w:cs="Arial"/>
          <w:sz w:val="21"/>
          <w:szCs w:val="22"/>
        </w:rPr>
        <w:lastRenderedPageBreak/>
        <w:t>endometriosis lesions exhibit context-dependent tissue adaptation with a reproducible structural–mural component, providing a focused basis for future spatial and functional investigation.</w:t>
      </w:r>
    </w:p>
    <w:p w14:paraId="5410A2FB" w14:textId="77777777" w:rsidR="00FC1459" w:rsidRPr="00FC1459" w:rsidRDefault="00FC1459" w:rsidP="00FC1459">
      <w:pPr>
        <w:spacing w:before="240" w:after="80" w:line="276" w:lineRule="auto"/>
        <w:rPr>
          <w:rFonts w:ascii="Arial" w:eastAsia="Arial" w:hAnsi="Arial" w:cs="Arial"/>
          <w:sz w:val="21"/>
          <w:szCs w:val="22"/>
        </w:rPr>
      </w:pPr>
      <w:r w:rsidRPr="00FC1459">
        <w:rPr>
          <w:rFonts w:ascii="Arial" w:eastAsia="Arial" w:hAnsi="Arial" w:cs="Arial"/>
          <w:b/>
          <w:sz w:val="24"/>
          <w:szCs w:val="22"/>
        </w:rPr>
        <w:t>References</w:t>
      </w:r>
    </w:p>
    <w:p w14:paraId="1D494E1A" w14:textId="77777777" w:rsidR="00FC1459" w:rsidRPr="00FC1459" w:rsidRDefault="00FC1459" w:rsidP="00FC1459">
      <w:pPr>
        <w:spacing w:after="80"/>
        <w:rPr>
          <w:rFonts w:ascii="Arial" w:eastAsia="Arial" w:hAnsi="Arial" w:cs="Arial"/>
          <w:sz w:val="21"/>
          <w:szCs w:val="22"/>
        </w:rPr>
      </w:pPr>
      <w:r w:rsidRPr="00FC1459">
        <w:rPr>
          <w:rFonts w:ascii="Arial" w:eastAsia="Arial" w:hAnsi="Arial" w:cs="Arial"/>
          <w:sz w:val="21"/>
          <w:szCs w:val="22"/>
        </w:rPr>
        <w:t>Becker, C.M., Bokor, A., Heikinheimo, O. et al. (</w:t>
      </w:r>
      <w:proofErr w:type="gramStart"/>
      <w:r w:rsidRPr="00FC1459">
        <w:rPr>
          <w:rFonts w:ascii="Arial" w:eastAsia="Arial" w:hAnsi="Arial" w:cs="Arial"/>
          <w:sz w:val="21"/>
          <w:szCs w:val="22"/>
        </w:rPr>
        <w:t>2022) ‘</w:t>
      </w:r>
      <w:proofErr w:type="gramEnd"/>
      <w:r w:rsidRPr="00FC1459">
        <w:rPr>
          <w:rFonts w:ascii="Arial" w:eastAsia="Arial" w:hAnsi="Arial" w:cs="Arial"/>
          <w:sz w:val="21"/>
          <w:szCs w:val="22"/>
        </w:rPr>
        <w:t xml:space="preserve">ESHRE guideline: endometriosis’, Human Reproduction Open, 2022(2), hoac009. </w:t>
      </w:r>
      <w:proofErr w:type="spellStart"/>
      <w:r w:rsidRPr="00FC1459">
        <w:rPr>
          <w:rFonts w:ascii="Arial" w:eastAsia="Arial" w:hAnsi="Arial" w:cs="Arial"/>
          <w:sz w:val="21"/>
          <w:szCs w:val="22"/>
        </w:rPr>
        <w:t>doi</w:t>
      </w:r>
      <w:proofErr w:type="spellEnd"/>
      <w:r w:rsidRPr="00FC1459">
        <w:rPr>
          <w:rFonts w:ascii="Arial" w:eastAsia="Arial" w:hAnsi="Arial" w:cs="Arial"/>
          <w:sz w:val="21"/>
          <w:szCs w:val="22"/>
        </w:rPr>
        <w:t>: 10.1093/</w:t>
      </w:r>
      <w:proofErr w:type="spellStart"/>
      <w:r w:rsidRPr="00FC1459">
        <w:rPr>
          <w:rFonts w:ascii="Arial" w:eastAsia="Arial" w:hAnsi="Arial" w:cs="Arial"/>
          <w:sz w:val="21"/>
          <w:szCs w:val="22"/>
        </w:rPr>
        <w:t>hropen</w:t>
      </w:r>
      <w:proofErr w:type="spellEnd"/>
      <w:r w:rsidRPr="00FC1459">
        <w:rPr>
          <w:rFonts w:ascii="Arial" w:eastAsia="Arial" w:hAnsi="Arial" w:cs="Arial"/>
          <w:sz w:val="21"/>
          <w:szCs w:val="22"/>
        </w:rPr>
        <w:t>/hoac009.</w:t>
      </w:r>
    </w:p>
    <w:p w14:paraId="204609E6" w14:textId="77777777" w:rsidR="00FC1459" w:rsidRPr="00FC1459" w:rsidRDefault="00FC1459" w:rsidP="00FC1459">
      <w:pPr>
        <w:spacing w:after="80"/>
        <w:rPr>
          <w:rFonts w:ascii="Arial" w:eastAsia="Arial" w:hAnsi="Arial" w:cs="Arial"/>
          <w:sz w:val="21"/>
          <w:szCs w:val="22"/>
        </w:rPr>
      </w:pPr>
      <w:r w:rsidRPr="00FC1459">
        <w:rPr>
          <w:rFonts w:ascii="Arial" w:eastAsia="Arial" w:hAnsi="Arial" w:cs="Arial"/>
          <w:sz w:val="21"/>
          <w:szCs w:val="22"/>
        </w:rPr>
        <w:t xml:space="preserve">Bo, C. and Wang, Y. (2024) ‘Angiogenesis signaling in endometriosis: Molecules, diagnosis and treatment’, Molecular Medicine Reports, 29(3), 43. </w:t>
      </w:r>
      <w:proofErr w:type="spellStart"/>
      <w:r w:rsidRPr="00FC1459">
        <w:rPr>
          <w:rFonts w:ascii="Arial" w:eastAsia="Arial" w:hAnsi="Arial" w:cs="Arial"/>
          <w:sz w:val="21"/>
          <w:szCs w:val="22"/>
        </w:rPr>
        <w:t>doi</w:t>
      </w:r>
      <w:proofErr w:type="spellEnd"/>
      <w:r w:rsidRPr="00FC1459">
        <w:rPr>
          <w:rFonts w:ascii="Arial" w:eastAsia="Arial" w:hAnsi="Arial" w:cs="Arial"/>
          <w:sz w:val="21"/>
          <w:szCs w:val="22"/>
        </w:rPr>
        <w:t>: 10.3892/mmr.2024.13167.</w:t>
      </w:r>
    </w:p>
    <w:p w14:paraId="39F676D9" w14:textId="77777777" w:rsidR="00FC1459" w:rsidRPr="00FC1459" w:rsidRDefault="00FC1459" w:rsidP="00FC1459">
      <w:pPr>
        <w:spacing w:after="80"/>
        <w:rPr>
          <w:rFonts w:ascii="Arial" w:eastAsia="Arial" w:hAnsi="Arial" w:cs="Arial"/>
          <w:sz w:val="21"/>
          <w:szCs w:val="22"/>
        </w:rPr>
      </w:pPr>
      <w:r w:rsidRPr="00FC1459">
        <w:rPr>
          <w:rFonts w:ascii="Arial" w:eastAsia="Arial" w:hAnsi="Arial" w:cs="Arial"/>
          <w:sz w:val="21"/>
          <w:szCs w:val="22"/>
        </w:rPr>
        <w:t>Chen, S. et al. (</w:t>
      </w:r>
      <w:proofErr w:type="gramStart"/>
      <w:r w:rsidRPr="00FC1459">
        <w:rPr>
          <w:rFonts w:ascii="Arial" w:eastAsia="Arial" w:hAnsi="Arial" w:cs="Arial"/>
          <w:sz w:val="21"/>
          <w:szCs w:val="22"/>
        </w:rPr>
        <w:t>2023) ‘</w:t>
      </w:r>
      <w:proofErr w:type="gramEnd"/>
      <w:r w:rsidRPr="00FC1459">
        <w:rPr>
          <w:rFonts w:ascii="Arial" w:eastAsia="Arial" w:hAnsi="Arial" w:cs="Arial"/>
          <w:sz w:val="21"/>
          <w:szCs w:val="22"/>
        </w:rPr>
        <w:t xml:space="preserve">Peritoneal immune microenvironment of endometriosis: Role and therapeutic perspectives’, Frontiers in Immunology, 14, 1134663. </w:t>
      </w:r>
      <w:proofErr w:type="spellStart"/>
      <w:r w:rsidRPr="00FC1459">
        <w:rPr>
          <w:rFonts w:ascii="Arial" w:eastAsia="Arial" w:hAnsi="Arial" w:cs="Arial"/>
          <w:sz w:val="21"/>
          <w:szCs w:val="22"/>
        </w:rPr>
        <w:t>doi</w:t>
      </w:r>
      <w:proofErr w:type="spellEnd"/>
      <w:r w:rsidRPr="00FC1459">
        <w:rPr>
          <w:rFonts w:ascii="Arial" w:eastAsia="Arial" w:hAnsi="Arial" w:cs="Arial"/>
          <w:sz w:val="21"/>
          <w:szCs w:val="22"/>
        </w:rPr>
        <w:t>: 10.3389/fimmu.2023.1134663.</w:t>
      </w:r>
    </w:p>
    <w:p w14:paraId="3F3A48CF" w14:textId="77777777" w:rsidR="00FC1459" w:rsidRPr="00FC1459" w:rsidRDefault="00FC1459" w:rsidP="00FC1459">
      <w:pPr>
        <w:spacing w:after="80"/>
        <w:rPr>
          <w:rFonts w:ascii="Arial" w:eastAsia="Arial" w:hAnsi="Arial" w:cs="Arial"/>
          <w:sz w:val="21"/>
          <w:szCs w:val="22"/>
        </w:rPr>
      </w:pPr>
      <w:r w:rsidRPr="00FC1459">
        <w:rPr>
          <w:rFonts w:ascii="Arial" w:eastAsia="Arial" w:hAnsi="Arial" w:cs="Arial"/>
          <w:sz w:val="21"/>
          <w:szCs w:val="22"/>
        </w:rPr>
        <w:t xml:space="preserve">Fonseca, M.A.S., Haro, M., Wright, K.N. et al. (2023) ‘Single-cell transcriptomic analysis of endometriosis’, Nature Genetics, 55(2), pp. 255–267. </w:t>
      </w:r>
      <w:proofErr w:type="spellStart"/>
      <w:r w:rsidRPr="00FC1459">
        <w:rPr>
          <w:rFonts w:ascii="Arial" w:eastAsia="Arial" w:hAnsi="Arial" w:cs="Arial"/>
          <w:sz w:val="21"/>
          <w:szCs w:val="22"/>
        </w:rPr>
        <w:t>doi</w:t>
      </w:r>
      <w:proofErr w:type="spellEnd"/>
      <w:r w:rsidRPr="00FC1459">
        <w:rPr>
          <w:rFonts w:ascii="Arial" w:eastAsia="Arial" w:hAnsi="Arial" w:cs="Arial"/>
          <w:sz w:val="21"/>
          <w:szCs w:val="22"/>
        </w:rPr>
        <w:t>: 10.1038/s41588-022-01254-1.</w:t>
      </w:r>
    </w:p>
    <w:p w14:paraId="3A080F35" w14:textId="77777777" w:rsidR="00FC1459" w:rsidRPr="00FC1459" w:rsidRDefault="00FC1459" w:rsidP="00FC1459">
      <w:pPr>
        <w:spacing w:after="80"/>
        <w:rPr>
          <w:rFonts w:ascii="Arial" w:eastAsia="Arial" w:hAnsi="Arial" w:cs="Arial"/>
          <w:sz w:val="21"/>
          <w:szCs w:val="22"/>
        </w:rPr>
      </w:pPr>
      <w:r w:rsidRPr="00FC1459">
        <w:rPr>
          <w:rFonts w:ascii="Arial" w:eastAsia="Arial" w:hAnsi="Arial" w:cs="Arial"/>
          <w:sz w:val="21"/>
          <w:szCs w:val="22"/>
        </w:rPr>
        <w:t xml:space="preserve">Garcia-Alonso, L., Handfield, L.F., Roberts, K. et al. (2021) ‘Mapping the temporal and spatial dynamics of the human endometrium in vivo’, Nature Genetics, 53, pp. 1698–1711. </w:t>
      </w:r>
      <w:proofErr w:type="spellStart"/>
      <w:r w:rsidRPr="00FC1459">
        <w:rPr>
          <w:rFonts w:ascii="Arial" w:eastAsia="Arial" w:hAnsi="Arial" w:cs="Arial"/>
          <w:sz w:val="21"/>
          <w:szCs w:val="22"/>
        </w:rPr>
        <w:t>doi</w:t>
      </w:r>
      <w:proofErr w:type="spellEnd"/>
      <w:r w:rsidRPr="00FC1459">
        <w:rPr>
          <w:rFonts w:ascii="Arial" w:eastAsia="Arial" w:hAnsi="Arial" w:cs="Arial"/>
          <w:sz w:val="21"/>
          <w:szCs w:val="22"/>
        </w:rPr>
        <w:t>: 10.1038/s41588-021-00966-y.</w:t>
      </w:r>
    </w:p>
    <w:p w14:paraId="623C2E35" w14:textId="77777777" w:rsidR="00FC1459" w:rsidRPr="00FC1459" w:rsidRDefault="00FC1459" w:rsidP="00FC1459">
      <w:pPr>
        <w:spacing w:after="80"/>
        <w:rPr>
          <w:rFonts w:ascii="Arial" w:eastAsia="Arial" w:hAnsi="Arial" w:cs="Arial"/>
          <w:sz w:val="21"/>
          <w:szCs w:val="22"/>
        </w:rPr>
      </w:pPr>
      <w:r w:rsidRPr="00FC1459">
        <w:rPr>
          <w:rFonts w:ascii="Arial" w:eastAsia="Arial" w:hAnsi="Arial" w:cs="Arial"/>
          <w:sz w:val="21"/>
          <w:szCs w:val="22"/>
        </w:rPr>
        <w:t>Huang, Q. et al. (</w:t>
      </w:r>
      <w:proofErr w:type="gramStart"/>
      <w:r w:rsidRPr="00FC1459">
        <w:rPr>
          <w:rFonts w:ascii="Arial" w:eastAsia="Arial" w:hAnsi="Arial" w:cs="Arial"/>
          <w:sz w:val="21"/>
          <w:szCs w:val="22"/>
        </w:rPr>
        <w:t>2023) ‘</w:t>
      </w:r>
      <w:proofErr w:type="gramEnd"/>
      <w:r w:rsidRPr="00FC1459">
        <w:rPr>
          <w:rFonts w:ascii="Arial" w:eastAsia="Arial" w:hAnsi="Arial" w:cs="Arial"/>
          <w:sz w:val="21"/>
          <w:szCs w:val="22"/>
        </w:rPr>
        <w:t xml:space="preserve">The role of peritoneal immunity in peritoneal endometriosis and related infertility’, Frontiers in Bioscience (Landmark Edition), 28(8), 166. </w:t>
      </w:r>
      <w:proofErr w:type="spellStart"/>
      <w:r w:rsidRPr="00FC1459">
        <w:rPr>
          <w:rFonts w:ascii="Arial" w:eastAsia="Arial" w:hAnsi="Arial" w:cs="Arial"/>
          <w:sz w:val="21"/>
          <w:szCs w:val="22"/>
        </w:rPr>
        <w:t>doi</w:t>
      </w:r>
      <w:proofErr w:type="spellEnd"/>
      <w:r w:rsidRPr="00FC1459">
        <w:rPr>
          <w:rFonts w:ascii="Arial" w:eastAsia="Arial" w:hAnsi="Arial" w:cs="Arial"/>
          <w:sz w:val="21"/>
          <w:szCs w:val="22"/>
        </w:rPr>
        <w:t>: 10.31083/</w:t>
      </w:r>
      <w:proofErr w:type="gramStart"/>
      <w:r w:rsidRPr="00FC1459">
        <w:rPr>
          <w:rFonts w:ascii="Arial" w:eastAsia="Arial" w:hAnsi="Arial" w:cs="Arial"/>
          <w:sz w:val="21"/>
          <w:szCs w:val="22"/>
        </w:rPr>
        <w:t>j.fbl</w:t>
      </w:r>
      <w:proofErr w:type="gramEnd"/>
      <w:r w:rsidRPr="00FC1459">
        <w:rPr>
          <w:rFonts w:ascii="Arial" w:eastAsia="Arial" w:hAnsi="Arial" w:cs="Arial"/>
          <w:sz w:val="21"/>
          <w:szCs w:val="22"/>
        </w:rPr>
        <w:t>2808166.</w:t>
      </w:r>
    </w:p>
    <w:p w14:paraId="39C58BCF" w14:textId="77777777" w:rsidR="00FC1459" w:rsidRPr="00FC1459" w:rsidRDefault="00FC1459" w:rsidP="00FC1459">
      <w:pPr>
        <w:spacing w:after="80"/>
        <w:rPr>
          <w:rFonts w:ascii="Arial" w:eastAsia="Arial" w:hAnsi="Arial" w:cs="Arial"/>
          <w:sz w:val="21"/>
          <w:szCs w:val="22"/>
        </w:rPr>
      </w:pPr>
      <w:r w:rsidRPr="00FC1459">
        <w:rPr>
          <w:rFonts w:ascii="Arial" w:eastAsia="Arial" w:hAnsi="Arial" w:cs="Arial"/>
          <w:sz w:val="21"/>
          <w:szCs w:val="22"/>
        </w:rPr>
        <w:t xml:space="preserve">Liu, Y. et al. (2023) ‘Understanding endometriosis from an </w:t>
      </w:r>
      <w:proofErr w:type="spellStart"/>
      <w:r w:rsidRPr="00FC1459">
        <w:rPr>
          <w:rFonts w:ascii="Arial" w:eastAsia="Arial" w:hAnsi="Arial" w:cs="Arial"/>
          <w:sz w:val="21"/>
          <w:szCs w:val="22"/>
        </w:rPr>
        <w:t>immunomicroenvironmental</w:t>
      </w:r>
      <w:proofErr w:type="spellEnd"/>
      <w:r w:rsidRPr="00FC1459">
        <w:rPr>
          <w:rFonts w:ascii="Arial" w:eastAsia="Arial" w:hAnsi="Arial" w:cs="Arial"/>
          <w:sz w:val="21"/>
          <w:szCs w:val="22"/>
        </w:rPr>
        <w:t xml:space="preserve"> perspective’, Chinese Medical Journal, 136(16), pp. 1897–1909. </w:t>
      </w:r>
      <w:proofErr w:type="spellStart"/>
      <w:r w:rsidRPr="00FC1459">
        <w:rPr>
          <w:rFonts w:ascii="Arial" w:eastAsia="Arial" w:hAnsi="Arial" w:cs="Arial"/>
          <w:sz w:val="21"/>
          <w:szCs w:val="22"/>
        </w:rPr>
        <w:t>doi</w:t>
      </w:r>
      <w:proofErr w:type="spellEnd"/>
      <w:r w:rsidRPr="00FC1459">
        <w:rPr>
          <w:rFonts w:ascii="Arial" w:eastAsia="Arial" w:hAnsi="Arial" w:cs="Arial"/>
          <w:sz w:val="21"/>
          <w:szCs w:val="22"/>
        </w:rPr>
        <w:t>: 10.1097/CM9.0000000000002649.</w:t>
      </w:r>
    </w:p>
    <w:p w14:paraId="6A9154E5" w14:textId="77777777" w:rsidR="00FC1459" w:rsidRPr="00FC1459" w:rsidRDefault="00FC1459" w:rsidP="00FC1459">
      <w:pPr>
        <w:spacing w:after="80"/>
        <w:rPr>
          <w:rFonts w:ascii="Arial" w:eastAsia="Arial" w:hAnsi="Arial" w:cs="Arial"/>
          <w:sz w:val="21"/>
          <w:szCs w:val="22"/>
        </w:rPr>
      </w:pPr>
      <w:r w:rsidRPr="00FC1459">
        <w:rPr>
          <w:rFonts w:ascii="Arial" w:eastAsia="Arial" w:hAnsi="Arial" w:cs="Arial"/>
          <w:sz w:val="21"/>
          <w:szCs w:val="22"/>
        </w:rPr>
        <w:t xml:space="preserve">Marečková, M., Garcia-Alonso, L., </w:t>
      </w:r>
      <w:proofErr w:type="spellStart"/>
      <w:r w:rsidRPr="00FC1459">
        <w:rPr>
          <w:rFonts w:ascii="Arial" w:eastAsia="Arial" w:hAnsi="Arial" w:cs="Arial"/>
          <w:sz w:val="21"/>
          <w:szCs w:val="22"/>
        </w:rPr>
        <w:t>Moullet</w:t>
      </w:r>
      <w:proofErr w:type="spellEnd"/>
      <w:r w:rsidRPr="00FC1459">
        <w:rPr>
          <w:rFonts w:ascii="Arial" w:eastAsia="Arial" w:hAnsi="Arial" w:cs="Arial"/>
          <w:sz w:val="21"/>
          <w:szCs w:val="22"/>
        </w:rPr>
        <w:t xml:space="preserve">, M. et al. (2024) ‘An integrated single-cell reference atlas of the human endometrium’, Nature Genetics, 56(9), pp. 1925–1937. </w:t>
      </w:r>
      <w:proofErr w:type="spellStart"/>
      <w:r w:rsidRPr="00FC1459">
        <w:rPr>
          <w:rFonts w:ascii="Arial" w:eastAsia="Arial" w:hAnsi="Arial" w:cs="Arial"/>
          <w:sz w:val="21"/>
          <w:szCs w:val="22"/>
        </w:rPr>
        <w:t>doi</w:t>
      </w:r>
      <w:proofErr w:type="spellEnd"/>
      <w:r w:rsidRPr="00FC1459">
        <w:rPr>
          <w:rFonts w:ascii="Arial" w:eastAsia="Arial" w:hAnsi="Arial" w:cs="Arial"/>
          <w:sz w:val="21"/>
          <w:szCs w:val="22"/>
        </w:rPr>
        <w:t>: 10.1038/s41588-024-01873-w.</w:t>
      </w:r>
    </w:p>
    <w:p w14:paraId="6472C715" w14:textId="77777777" w:rsidR="00FC1459" w:rsidRPr="00FC1459" w:rsidRDefault="00FC1459" w:rsidP="00FC1459">
      <w:pPr>
        <w:spacing w:after="80"/>
        <w:rPr>
          <w:rFonts w:ascii="Arial" w:eastAsia="Arial" w:hAnsi="Arial" w:cs="Arial"/>
          <w:sz w:val="21"/>
          <w:szCs w:val="22"/>
        </w:rPr>
      </w:pPr>
      <w:r w:rsidRPr="00FC1459">
        <w:rPr>
          <w:rFonts w:ascii="Arial" w:eastAsia="Arial" w:hAnsi="Arial" w:cs="Arial"/>
          <w:sz w:val="21"/>
          <w:szCs w:val="22"/>
        </w:rPr>
        <w:t>Marla, S. et al. (</w:t>
      </w:r>
      <w:proofErr w:type="gramStart"/>
      <w:r w:rsidRPr="00FC1459">
        <w:rPr>
          <w:rFonts w:ascii="Arial" w:eastAsia="Arial" w:hAnsi="Arial" w:cs="Arial"/>
          <w:sz w:val="21"/>
          <w:szCs w:val="22"/>
        </w:rPr>
        <w:t>2023) ‘</w:t>
      </w:r>
      <w:proofErr w:type="gramEnd"/>
      <w:r w:rsidRPr="00FC1459">
        <w:rPr>
          <w:rFonts w:ascii="Arial" w:eastAsia="Arial" w:hAnsi="Arial" w:cs="Arial"/>
          <w:sz w:val="21"/>
          <w:szCs w:val="22"/>
        </w:rPr>
        <w:t>Gene expression profiles separate endometriosis lesion subtypes and indicate a sensitivity of endometrioma to estrogen suppressive treatments’, publication details to be verified before submission.</w:t>
      </w:r>
    </w:p>
    <w:p w14:paraId="224C4E11" w14:textId="77777777" w:rsidR="00FC1459" w:rsidRPr="00FC1459" w:rsidRDefault="00FC1459" w:rsidP="00FC1459">
      <w:pPr>
        <w:spacing w:after="80"/>
        <w:rPr>
          <w:rFonts w:ascii="Arial" w:eastAsia="Arial" w:hAnsi="Arial" w:cs="Arial"/>
          <w:sz w:val="21"/>
          <w:szCs w:val="22"/>
        </w:rPr>
      </w:pPr>
      <w:r w:rsidRPr="00FC1459">
        <w:rPr>
          <w:rFonts w:ascii="Arial" w:eastAsia="Arial" w:hAnsi="Arial" w:cs="Arial"/>
          <w:sz w:val="21"/>
          <w:szCs w:val="22"/>
        </w:rPr>
        <w:t>Sarsenova, M. et al. (</w:t>
      </w:r>
      <w:proofErr w:type="gramStart"/>
      <w:r w:rsidRPr="00FC1459">
        <w:rPr>
          <w:rFonts w:ascii="Arial" w:eastAsia="Arial" w:hAnsi="Arial" w:cs="Arial"/>
          <w:sz w:val="21"/>
          <w:szCs w:val="22"/>
        </w:rPr>
        <w:t>2024) ‘</w:t>
      </w:r>
      <w:proofErr w:type="gramEnd"/>
      <w:r w:rsidRPr="00FC1459">
        <w:rPr>
          <w:rFonts w:ascii="Arial" w:eastAsia="Arial" w:hAnsi="Arial" w:cs="Arial"/>
          <w:sz w:val="21"/>
          <w:szCs w:val="22"/>
        </w:rPr>
        <w:t xml:space="preserve">Endometriotic lesions exhibit distinct metabolic signature compared to paired </w:t>
      </w:r>
      <w:proofErr w:type="spellStart"/>
      <w:r w:rsidRPr="00FC1459">
        <w:rPr>
          <w:rFonts w:ascii="Arial" w:eastAsia="Arial" w:hAnsi="Arial" w:cs="Arial"/>
          <w:sz w:val="21"/>
          <w:szCs w:val="22"/>
        </w:rPr>
        <w:t>eutopic</w:t>
      </w:r>
      <w:proofErr w:type="spellEnd"/>
      <w:r w:rsidRPr="00FC1459">
        <w:rPr>
          <w:rFonts w:ascii="Arial" w:eastAsia="Arial" w:hAnsi="Arial" w:cs="Arial"/>
          <w:sz w:val="21"/>
          <w:szCs w:val="22"/>
        </w:rPr>
        <w:t xml:space="preserve"> endometrium at the single-cell level’, Communications Biology, 7, 1026. </w:t>
      </w:r>
      <w:proofErr w:type="spellStart"/>
      <w:r w:rsidRPr="00FC1459">
        <w:rPr>
          <w:rFonts w:ascii="Arial" w:eastAsia="Arial" w:hAnsi="Arial" w:cs="Arial"/>
          <w:sz w:val="21"/>
          <w:szCs w:val="22"/>
        </w:rPr>
        <w:t>doi</w:t>
      </w:r>
      <w:proofErr w:type="spellEnd"/>
      <w:r w:rsidRPr="00FC1459">
        <w:rPr>
          <w:rFonts w:ascii="Arial" w:eastAsia="Arial" w:hAnsi="Arial" w:cs="Arial"/>
          <w:sz w:val="21"/>
          <w:szCs w:val="22"/>
        </w:rPr>
        <w:t>: 10.1038/s42003-024-06713-5.</w:t>
      </w:r>
    </w:p>
    <w:p w14:paraId="645BA90E" w14:textId="77777777" w:rsidR="00FC1459" w:rsidRPr="00FC1459" w:rsidRDefault="00FC1459" w:rsidP="00FC1459">
      <w:pPr>
        <w:spacing w:after="80"/>
        <w:rPr>
          <w:rFonts w:ascii="Arial" w:eastAsia="Arial" w:hAnsi="Arial" w:cs="Arial"/>
          <w:sz w:val="21"/>
          <w:szCs w:val="22"/>
        </w:rPr>
      </w:pPr>
      <w:r w:rsidRPr="00FC1459">
        <w:rPr>
          <w:rFonts w:ascii="Arial" w:eastAsia="Arial" w:hAnsi="Arial" w:cs="Arial"/>
          <w:sz w:val="21"/>
          <w:szCs w:val="22"/>
        </w:rPr>
        <w:t>Tan, Y. et al. (2023) ‘Single-cell profiling identifies distinct hormonal, immunological and vascular states across endometriosis subtypes’, publication details to be verified before submission.</w:t>
      </w:r>
    </w:p>
    <w:p w14:paraId="2B7177D9" w14:textId="77777777" w:rsidR="00FC1459" w:rsidRPr="00FC1459" w:rsidRDefault="00FC1459" w:rsidP="00FC1459">
      <w:pPr>
        <w:spacing w:after="80"/>
        <w:rPr>
          <w:rFonts w:ascii="Arial" w:eastAsia="Arial" w:hAnsi="Arial" w:cs="Arial"/>
          <w:sz w:val="21"/>
          <w:szCs w:val="22"/>
        </w:rPr>
      </w:pPr>
      <w:proofErr w:type="spellStart"/>
      <w:r w:rsidRPr="00FC1459">
        <w:rPr>
          <w:rFonts w:ascii="Arial" w:eastAsia="Arial" w:hAnsi="Arial" w:cs="Arial"/>
          <w:sz w:val="21"/>
          <w:szCs w:val="22"/>
        </w:rPr>
        <w:t>Vercellini</w:t>
      </w:r>
      <w:proofErr w:type="spellEnd"/>
      <w:r w:rsidRPr="00FC1459">
        <w:rPr>
          <w:rFonts w:ascii="Arial" w:eastAsia="Arial" w:hAnsi="Arial" w:cs="Arial"/>
          <w:sz w:val="21"/>
          <w:szCs w:val="22"/>
        </w:rPr>
        <w:t xml:space="preserve">, P., Viganò, P., Somigliana, E. and Fedele, L. (2021) ‘Comparing endometriotic lesions with </w:t>
      </w:r>
      <w:proofErr w:type="spellStart"/>
      <w:r w:rsidRPr="00FC1459">
        <w:rPr>
          <w:rFonts w:ascii="Arial" w:eastAsia="Arial" w:hAnsi="Arial" w:cs="Arial"/>
          <w:sz w:val="21"/>
          <w:szCs w:val="22"/>
        </w:rPr>
        <w:t>eutopic</w:t>
      </w:r>
      <w:proofErr w:type="spellEnd"/>
      <w:r w:rsidRPr="00FC1459">
        <w:rPr>
          <w:rFonts w:ascii="Arial" w:eastAsia="Arial" w:hAnsi="Arial" w:cs="Arial"/>
          <w:sz w:val="21"/>
          <w:szCs w:val="22"/>
        </w:rPr>
        <w:t xml:space="preserve"> endometrium: time to shift focus?’, Human Reproduction, 36(12), pp. 3135–3142. </w:t>
      </w:r>
      <w:proofErr w:type="spellStart"/>
      <w:r w:rsidRPr="00FC1459">
        <w:rPr>
          <w:rFonts w:ascii="Arial" w:eastAsia="Arial" w:hAnsi="Arial" w:cs="Arial"/>
          <w:sz w:val="21"/>
          <w:szCs w:val="22"/>
        </w:rPr>
        <w:t>doi</w:t>
      </w:r>
      <w:proofErr w:type="spellEnd"/>
      <w:r w:rsidRPr="00FC1459">
        <w:rPr>
          <w:rFonts w:ascii="Arial" w:eastAsia="Arial" w:hAnsi="Arial" w:cs="Arial"/>
          <w:sz w:val="21"/>
          <w:szCs w:val="22"/>
        </w:rPr>
        <w:t>: 10.1093/</w:t>
      </w:r>
      <w:proofErr w:type="spellStart"/>
      <w:r w:rsidRPr="00FC1459">
        <w:rPr>
          <w:rFonts w:ascii="Arial" w:eastAsia="Arial" w:hAnsi="Arial" w:cs="Arial"/>
          <w:sz w:val="21"/>
          <w:szCs w:val="22"/>
        </w:rPr>
        <w:t>humrep</w:t>
      </w:r>
      <w:proofErr w:type="spellEnd"/>
      <w:r w:rsidRPr="00FC1459">
        <w:rPr>
          <w:rFonts w:ascii="Arial" w:eastAsia="Arial" w:hAnsi="Arial" w:cs="Arial"/>
          <w:sz w:val="21"/>
          <w:szCs w:val="22"/>
        </w:rPr>
        <w:t>/deab208.</w:t>
      </w:r>
    </w:p>
    <w:p w14:paraId="3B0F79AD" w14:textId="77777777" w:rsidR="00FC1459" w:rsidRPr="00FC1459" w:rsidRDefault="00FC1459" w:rsidP="00FC1459">
      <w:pPr>
        <w:spacing w:after="80"/>
        <w:rPr>
          <w:rFonts w:ascii="Arial" w:eastAsia="Arial" w:hAnsi="Arial" w:cs="Arial"/>
          <w:sz w:val="21"/>
          <w:szCs w:val="22"/>
        </w:rPr>
      </w:pPr>
      <w:r w:rsidRPr="00FC1459">
        <w:rPr>
          <w:rFonts w:ascii="Arial" w:eastAsia="Arial" w:hAnsi="Arial" w:cs="Arial"/>
          <w:sz w:val="21"/>
          <w:szCs w:val="22"/>
        </w:rPr>
        <w:t xml:space="preserve">Vissers, G., Giacomozzi, M., </w:t>
      </w:r>
      <w:proofErr w:type="spellStart"/>
      <w:r w:rsidRPr="00FC1459">
        <w:rPr>
          <w:rFonts w:ascii="Arial" w:eastAsia="Arial" w:hAnsi="Arial" w:cs="Arial"/>
          <w:sz w:val="21"/>
          <w:szCs w:val="22"/>
        </w:rPr>
        <w:t>Verdurmen</w:t>
      </w:r>
      <w:proofErr w:type="spellEnd"/>
      <w:r w:rsidRPr="00FC1459">
        <w:rPr>
          <w:rFonts w:ascii="Arial" w:eastAsia="Arial" w:hAnsi="Arial" w:cs="Arial"/>
          <w:sz w:val="21"/>
          <w:szCs w:val="22"/>
        </w:rPr>
        <w:t xml:space="preserve">, W., Peek, R. and Nap, A. (2024) ‘The role of fibrosis in endometriosis: a systematic review’, Human Reproduction Update, 30(6), pp. 706–750. </w:t>
      </w:r>
      <w:proofErr w:type="spellStart"/>
      <w:r w:rsidRPr="00FC1459">
        <w:rPr>
          <w:rFonts w:ascii="Arial" w:eastAsia="Arial" w:hAnsi="Arial" w:cs="Arial"/>
          <w:sz w:val="21"/>
          <w:szCs w:val="22"/>
        </w:rPr>
        <w:t>doi</w:t>
      </w:r>
      <w:proofErr w:type="spellEnd"/>
      <w:r w:rsidRPr="00FC1459">
        <w:rPr>
          <w:rFonts w:ascii="Arial" w:eastAsia="Arial" w:hAnsi="Arial" w:cs="Arial"/>
          <w:sz w:val="21"/>
          <w:szCs w:val="22"/>
        </w:rPr>
        <w:t>: 10.1093/</w:t>
      </w:r>
      <w:proofErr w:type="spellStart"/>
      <w:r w:rsidRPr="00FC1459">
        <w:rPr>
          <w:rFonts w:ascii="Arial" w:eastAsia="Arial" w:hAnsi="Arial" w:cs="Arial"/>
          <w:sz w:val="21"/>
          <w:szCs w:val="22"/>
        </w:rPr>
        <w:t>humupd</w:t>
      </w:r>
      <w:proofErr w:type="spellEnd"/>
      <w:r w:rsidRPr="00FC1459">
        <w:rPr>
          <w:rFonts w:ascii="Arial" w:eastAsia="Arial" w:hAnsi="Arial" w:cs="Arial"/>
          <w:sz w:val="21"/>
          <w:szCs w:val="22"/>
        </w:rPr>
        <w:t>/dmae023.</w:t>
      </w:r>
    </w:p>
    <w:p w14:paraId="5BBBC461" w14:textId="77777777" w:rsidR="00FC1459" w:rsidRPr="00FC1459" w:rsidRDefault="00FC1459" w:rsidP="00FC1459">
      <w:pPr>
        <w:spacing w:after="80"/>
        <w:rPr>
          <w:rFonts w:ascii="Arial" w:eastAsia="Arial" w:hAnsi="Arial" w:cs="Arial"/>
          <w:sz w:val="21"/>
          <w:szCs w:val="22"/>
        </w:rPr>
      </w:pPr>
      <w:r w:rsidRPr="00FC1459">
        <w:rPr>
          <w:rFonts w:ascii="Arial" w:eastAsia="Arial" w:hAnsi="Arial" w:cs="Arial"/>
          <w:sz w:val="21"/>
          <w:szCs w:val="22"/>
        </w:rPr>
        <w:t xml:space="preserve">Wang, Y. et al. (2022) ‘Single-cell analysis of endometriosis reveals a coordinated transcriptional </w:t>
      </w:r>
      <w:proofErr w:type="spellStart"/>
      <w:r w:rsidRPr="00FC1459">
        <w:rPr>
          <w:rFonts w:ascii="Arial" w:eastAsia="Arial" w:hAnsi="Arial" w:cs="Arial"/>
          <w:sz w:val="21"/>
          <w:szCs w:val="22"/>
        </w:rPr>
        <w:t>programme</w:t>
      </w:r>
      <w:proofErr w:type="spellEnd"/>
      <w:r w:rsidRPr="00FC1459">
        <w:rPr>
          <w:rFonts w:ascii="Arial" w:eastAsia="Arial" w:hAnsi="Arial" w:cs="Arial"/>
          <w:sz w:val="21"/>
          <w:szCs w:val="22"/>
        </w:rPr>
        <w:t xml:space="preserve"> driving immunotolerance and angiogenesis across </w:t>
      </w:r>
      <w:proofErr w:type="spellStart"/>
      <w:r w:rsidRPr="00FC1459">
        <w:rPr>
          <w:rFonts w:ascii="Arial" w:eastAsia="Arial" w:hAnsi="Arial" w:cs="Arial"/>
          <w:sz w:val="21"/>
          <w:szCs w:val="22"/>
        </w:rPr>
        <w:t>eutopic</w:t>
      </w:r>
      <w:proofErr w:type="spellEnd"/>
      <w:r w:rsidRPr="00FC1459">
        <w:rPr>
          <w:rFonts w:ascii="Arial" w:eastAsia="Arial" w:hAnsi="Arial" w:cs="Arial"/>
          <w:sz w:val="21"/>
          <w:szCs w:val="22"/>
        </w:rPr>
        <w:t xml:space="preserve"> and ectopic tissues’, publication details to be verified before submission.</w:t>
      </w:r>
    </w:p>
    <w:p w14:paraId="2143DC05" w14:textId="4D69919B" w:rsidR="00B815BF" w:rsidRDefault="00FC1459" w:rsidP="00FC1459">
      <w:pPr>
        <w:jc w:val="both"/>
        <w:rPr>
          <w:rFonts w:asciiTheme="majorBidi" w:hAnsiTheme="majorBidi" w:cstheme="majorBidi"/>
          <w:b/>
          <w:bCs/>
          <w:sz w:val="28"/>
          <w:szCs w:val="28"/>
          <w:rtl/>
        </w:rPr>
      </w:pPr>
      <w:r w:rsidRPr="00FC1459">
        <w:rPr>
          <w:rFonts w:ascii="Arial" w:eastAsia="Arial" w:hAnsi="Arial" w:cs="Arial"/>
          <w:sz w:val="21"/>
          <w:szCs w:val="22"/>
        </w:rPr>
        <w:t xml:space="preserve">Zondervan, K.T., Becker, C.M., </w:t>
      </w:r>
      <w:proofErr w:type="spellStart"/>
      <w:r w:rsidRPr="00FC1459">
        <w:rPr>
          <w:rFonts w:ascii="Arial" w:eastAsia="Arial" w:hAnsi="Arial" w:cs="Arial"/>
          <w:sz w:val="21"/>
          <w:szCs w:val="22"/>
        </w:rPr>
        <w:t>Missmer</w:t>
      </w:r>
      <w:proofErr w:type="spellEnd"/>
      <w:r w:rsidRPr="00FC1459">
        <w:rPr>
          <w:rFonts w:ascii="Arial" w:eastAsia="Arial" w:hAnsi="Arial" w:cs="Arial"/>
          <w:sz w:val="21"/>
          <w:szCs w:val="22"/>
        </w:rPr>
        <w:t xml:space="preserve">, S.A. and Endometriosis (2020) ‘Endometriosis’, New England Journal of Medicine, 382(13), pp. 1244–1256. </w:t>
      </w:r>
      <w:proofErr w:type="spellStart"/>
      <w:r w:rsidRPr="00FC1459">
        <w:rPr>
          <w:rFonts w:ascii="Arial" w:eastAsia="Arial" w:hAnsi="Arial" w:cs="Arial"/>
          <w:sz w:val="21"/>
          <w:szCs w:val="22"/>
        </w:rPr>
        <w:t>doi</w:t>
      </w:r>
      <w:proofErr w:type="spellEnd"/>
      <w:r w:rsidRPr="00FC1459">
        <w:rPr>
          <w:rFonts w:ascii="Arial" w:eastAsia="Arial" w:hAnsi="Arial" w:cs="Arial"/>
          <w:sz w:val="21"/>
          <w:szCs w:val="22"/>
        </w:rPr>
        <w:t>: 10.1056/NEJMra1810764</w:t>
      </w:r>
    </w:p>
    <w:p w14:paraId="4AC06668" w14:textId="77777777" w:rsidR="00B815BF" w:rsidRDefault="00B815BF" w:rsidP="00FC1459">
      <w:pPr>
        <w:jc w:val="both"/>
        <w:rPr>
          <w:rFonts w:asciiTheme="majorBidi" w:hAnsiTheme="majorBidi" w:cstheme="majorBidi"/>
          <w:b/>
          <w:bCs/>
          <w:sz w:val="28"/>
          <w:szCs w:val="28"/>
          <w:rtl/>
        </w:rPr>
      </w:pPr>
    </w:p>
    <w:p w14:paraId="05C6921D" w14:textId="77777777" w:rsidR="00B815BF" w:rsidRDefault="00B815BF" w:rsidP="00FC1459">
      <w:pPr>
        <w:jc w:val="both"/>
        <w:rPr>
          <w:rFonts w:asciiTheme="majorBidi" w:hAnsiTheme="majorBidi" w:cstheme="majorBidi"/>
          <w:b/>
          <w:bCs/>
          <w:sz w:val="28"/>
          <w:szCs w:val="28"/>
          <w:rtl/>
        </w:rPr>
      </w:pPr>
    </w:p>
    <w:p w14:paraId="0B62841D" w14:textId="77777777" w:rsidR="00B815BF" w:rsidRDefault="00B815BF" w:rsidP="00FC1459">
      <w:pPr>
        <w:jc w:val="both"/>
        <w:rPr>
          <w:rFonts w:asciiTheme="majorBidi" w:hAnsiTheme="majorBidi" w:cstheme="majorBidi"/>
          <w:b/>
          <w:bCs/>
          <w:sz w:val="28"/>
          <w:szCs w:val="28"/>
          <w:rtl/>
        </w:rPr>
      </w:pPr>
    </w:p>
    <w:p w14:paraId="22DF41B7" w14:textId="77777777" w:rsidR="00B815BF" w:rsidRDefault="00B815BF" w:rsidP="00FC1459">
      <w:pPr>
        <w:jc w:val="both"/>
        <w:rPr>
          <w:rFonts w:asciiTheme="majorBidi" w:hAnsiTheme="majorBidi" w:cstheme="majorBidi"/>
          <w:b/>
          <w:bCs/>
          <w:sz w:val="28"/>
          <w:szCs w:val="28"/>
          <w:rtl/>
        </w:rPr>
      </w:pPr>
    </w:p>
    <w:p w14:paraId="25B07A9C" w14:textId="77777777" w:rsidR="00B815BF" w:rsidRDefault="00B815BF" w:rsidP="00FC1459">
      <w:pPr>
        <w:jc w:val="both"/>
        <w:rPr>
          <w:rFonts w:asciiTheme="majorBidi" w:hAnsiTheme="majorBidi" w:cstheme="majorBidi"/>
          <w:b/>
          <w:bCs/>
          <w:sz w:val="28"/>
          <w:szCs w:val="28"/>
          <w:rtl/>
        </w:rPr>
      </w:pPr>
    </w:p>
    <w:p w14:paraId="3E1FFF6E" w14:textId="77777777" w:rsidR="00B815BF" w:rsidRDefault="00B815BF" w:rsidP="00FC1459">
      <w:pPr>
        <w:jc w:val="both"/>
        <w:rPr>
          <w:rFonts w:asciiTheme="majorBidi" w:hAnsiTheme="majorBidi" w:cstheme="majorBidi"/>
          <w:b/>
          <w:bCs/>
          <w:sz w:val="28"/>
          <w:szCs w:val="28"/>
          <w:rtl/>
        </w:rPr>
      </w:pPr>
    </w:p>
    <w:p w14:paraId="737B08AE" w14:textId="77777777" w:rsidR="00B815BF" w:rsidRDefault="00B815BF" w:rsidP="00FC1459">
      <w:pPr>
        <w:jc w:val="both"/>
        <w:rPr>
          <w:rFonts w:asciiTheme="majorBidi" w:hAnsiTheme="majorBidi" w:cstheme="majorBidi"/>
          <w:b/>
          <w:bCs/>
          <w:sz w:val="28"/>
          <w:szCs w:val="28"/>
          <w:rtl/>
        </w:rPr>
      </w:pPr>
    </w:p>
    <w:p w14:paraId="3DA1E341" w14:textId="77777777" w:rsidR="00B815BF" w:rsidRDefault="00B815BF" w:rsidP="00FC1459">
      <w:pPr>
        <w:jc w:val="both"/>
        <w:rPr>
          <w:rFonts w:asciiTheme="majorBidi" w:hAnsiTheme="majorBidi" w:cstheme="majorBidi"/>
          <w:b/>
          <w:bCs/>
          <w:sz w:val="28"/>
          <w:szCs w:val="28"/>
          <w:rtl/>
        </w:rPr>
      </w:pPr>
    </w:p>
    <w:p w14:paraId="13695E90" w14:textId="77777777" w:rsidR="00B815BF" w:rsidRDefault="00B815BF" w:rsidP="00FC1459">
      <w:pPr>
        <w:jc w:val="both"/>
        <w:rPr>
          <w:rFonts w:asciiTheme="majorBidi" w:hAnsiTheme="majorBidi" w:cstheme="majorBidi"/>
          <w:b/>
          <w:bCs/>
          <w:sz w:val="28"/>
          <w:szCs w:val="28"/>
          <w:rtl/>
        </w:rPr>
      </w:pPr>
    </w:p>
    <w:p w14:paraId="3AFB6582" w14:textId="77777777" w:rsidR="00B815BF" w:rsidRDefault="00B815BF" w:rsidP="00FC1459">
      <w:pPr>
        <w:jc w:val="both"/>
        <w:rPr>
          <w:rFonts w:asciiTheme="majorBidi" w:hAnsiTheme="majorBidi" w:cstheme="majorBidi"/>
          <w:b/>
          <w:bCs/>
          <w:sz w:val="28"/>
          <w:szCs w:val="28"/>
          <w:rtl/>
        </w:rPr>
      </w:pPr>
    </w:p>
    <w:p w14:paraId="04574342" w14:textId="77777777" w:rsidR="00B815BF" w:rsidRDefault="00B815BF" w:rsidP="00FC1459">
      <w:pPr>
        <w:jc w:val="both"/>
        <w:rPr>
          <w:rFonts w:asciiTheme="majorBidi" w:hAnsiTheme="majorBidi" w:cstheme="majorBidi"/>
          <w:b/>
          <w:bCs/>
          <w:sz w:val="28"/>
          <w:szCs w:val="28"/>
          <w:rtl/>
        </w:rPr>
      </w:pPr>
    </w:p>
    <w:p w14:paraId="2132ED3C" w14:textId="77777777" w:rsidR="00B815BF" w:rsidRDefault="00B815BF" w:rsidP="00FC1459">
      <w:pPr>
        <w:jc w:val="both"/>
        <w:rPr>
          <w:rFonts w:asciiTheme="majorBidi" w:hAnsiTheme="majorBidi" w:cstheme="majorBidi"/>
          <w:b/>
          <w:bCs/>
          <w:sz w:val="28"/>
          <w:szCs w:val="28"/>
          <w:rtl/>
        </w:rPr>
      </w:pPr>
    </w:p>
    <w:p w14:paraId="28A0C0AE" w14:textId="77777777" w:rsidR="00B815BF" w:rsidRDefault="00B815BF" w:rsidP="00FC1459">
      <w:pPr>
        <w:jc w:val="both"/>
        <w:rPr>
          <w:rFonts w:asciiTheme="majorBidi" w:hAnsiTheme="majorBidi" w:cstheme="majorBidi"/>
          <w:b/>
          <w:bCs/>
          <w:sz w:val="28"/>
          <w:szCs w:val="28"/>
          <w:rtl/>
        </w:rPr>
      </w:pPr>
    </w:p>
    <w:p w14:paraId="0F94A8B9" w14:textId="77777777" w:rsidR="00B815BF" w:rsidRDefault="00B815BF" w:rsidP="00FC1459">
      <w:pPr>
        <w:jc w:val="both"/>
        <w:rPr>
          <w:rFonts w:asciiTheme="majorBidi" w:hAnsiTheme="majorBidi" w:cstheme="majorBidi"/>
          <w:b/>
          <w:bCs/>
          <w:sz w:val="28"/>
          <w:szCs w:val="28"/>
          <w:rtl/>
        </w:rPr>
      </w:pPr>
    </w:p>
    <w:p w14:paraId="4C78D0ED" w14:textId="77777777" w:rsidR="00B815BF" w:rsidRDefault="00B815BF" w:rsidP="00FC1459">
      <w:pPr>
        <w:jc w:val="both"/>
        <w:rPr>
          <w:rFonts w:asciiTheme="majorBidi" w:hAnsiTheme="majorBidi" w:cstheme="majorBidi"/>
          <w:b/>
          <w:bCs/>
          <w:sz w:val="28"/>
          <w:szCs w:val="28"/>
          <w:rtl/>
        </w:rPr>
      </w:pPr>
    </w:p>
    <w:p w14:paraId="18322863" w14:textId="724A8B71" w:rsidR="00B815BF" w:rsidRDefault="00B815BF" w:rsidP="00FC1459">
      <w:pPr>
        <w:jc w:val="both"/>
        <w:rPr>
          <w:rFonts w:asciiTheme="majorBidi" w:hAnsiTheme="majorBidi" w:cstheme="majorBidi"/>
          <w:b/>
          <w:bCs/>
          <w:sz w:val="28"/>
          <w:szCs w:val="28"/>
          <w:rtl/>
          <w:lang w:bidi="ar-EG"/>
        </w:rPr>
      </w:pPr>
      <w:r>
        <w:rPr>
          <w:rFonts w:asciiTheme="majorBidi" w:hAnsiTheme="majorBidi" w:cstheme="majorBidi"/>
          <w:b/>
          <w:bCs/>
          <w:sz w:val="28"/>
          <w:szCs w:val="28"/>
        </w:rPr>
        <w:t xml:space="preserve">References </w:t>
      </w:r>
    </w:p>
    <w:p w14:paraId="27D54EA1" w14:textId="77777777" w:rsidR="00B815BF" w:rsidRDefault="00B815BF" w:rsidP="00FC1459">
      <w:pPr>
        <w:pStyle w:val="my-2"/>
        <w:jc w:val="both"/>
      </w:pPr>
      <w:r>
        <w:t xml:space="preserve">Ahn, S.H., Khalaj, K., Young, S.L., Lessey, B.A., Koti, M. and Tayade, C. (2023) ‘Immune dysfunction in endometriosis: evidence, mechanisms and therapeutic implications’, </w:t>
      </w:r>
      <w:r>
        <w:rPr>
          <w:rStyle w:val="Emphasis"/>
        </w:rPr>
        <w:t>Seminars in Reproductive Medicine</w:t>
      </w:r>
      <w:r>
        <w:t>, 41(2–3), pp. 91–103.</w:t>
      </w:r>
    </w:p>
    <w:p w14:paraId="3D3631C2" w14:textId="77777777" w:rsidR="00B815BF" w:rsidRDefault="00B815BF" w:rsidP="00FC1459">
      <w:pPr>
        <w:pStyle w:val="my-2"/>
        <w:jc w:val="both"/>
      </w:pPr>
      <w:r>
        <w:t xml:space="preserve">As-Sanie, S., Zondervan, K.T. and </w:t>
      </w:r>
      <w:proofErr w:type="spellStart"/>
      <w:r>
        <w:t>Missmer</w:t>
      </w:r>
      <w:proofErr w:type="spellEnd"/>
      <w:r>
        <w:t xml:space="preserve">, S.A. (2023) ‘Endometriosis: epidemiology, diagnosis and management’, </w:t>
      </w:r>
      <w:r>
        <w:rPr>
          <w:rStyle w:val="Emphasis"/>
        </w:rPr>
        <w:t>Lancet</w:t>
      </w:r>
      <w:r>
        <w:t>, 402(10411), pp. 1633–1646.</w:t>
      </w:r>
    </w:p>
    <w:p w14:paraId="631FACF3" w14:textId="77777777" w:rsidR="00B815BF" w:rsidRDefault="00B815BF" w:rsidP="00FC1459">
      <w:pPr>
        <w:pStyle w:val="my-2"/>
        <w:jc w:val="both"/>
      </w:pPr>
      <w:proofErr w:type="spellStart"/>
      <w:r>
        <w:t>DerSimonian</w:t>
      </w:r>
      <w:proofErr w:type="spellEnd"/>
      <w:r>
        <w:t xml:space="preserve">, R. and Laird, N. (1986) ‘Meta-analysis in clinical trials’, </w:t>
      </w:r>
      <w:r>
        <w:rPr>
          <w:rStyle w:val="Emphasis"/>
        </w:rPr>
        <w:t>Controlled Clinical Trials</w:t>
      </w:r>
      <w:r>
        <w:t>, 7(3), pp. 177–188.</w:t>
      </w:r>
    </w:p>
    <w:p w14:paraId="513ADF70" w14:textId="77777777" w:rsidR="00B815BF" w:rsidRDefault="00B815BF" w:rsidP="00FC1459">
      <w:pPr>
        <w:pStyle w:val="my-2"/>
        <w:jc w:val="both"/>
      </w:pPr>
      <w:r>
        <w:t xml:space="preserve">Dunn, G.P., Old, L.J. and Schreiber, R.D. (2004) ‘The three Es of cancer immunoediting’, </w:t>
      </w:r>
      <w:r>
        <w:rPr>
          <w:rStyle w:val="Emphasis"/>
        </w:rPr>
        <w:t>Annual Review of Immunology</w:t>
      </w:r>
      <w:r>
        <w:t>, 22, pp. 329–360.</w:t>
      </w:r>
    </w:p>
    <w:p w14:paraId="5A9A9A83" w14:textId="77777777" w:rsidR="00B815BF" w:rsidRDefault="00B815BF" w:rsidP="00FC1459">
      <w:pPr>
        <w:pStyle w:val="my-2"/>
        <w:jc w:val="both"/>
      </w:pPr>
      <w:r>
        <w:t xml:space="preserve">Fonseca, M.A.S., Suzuki, S., Pinto-Teixeira, J., Licht, I., </w:t>
      </w:r>
      <w:proofErr w:type="spellStart"/>
      <w:r>
        <w:t>Balvers</w:t>
      </w:r>
      <w:proofErr w:type="spellEnd"/>
      <w:r>
        <w:t xml:space="preserve">, T., Todeschini, A.L., Zhang, J., Caillet, M., Basset, P., Van Nyen, J., </w:t>
      </w:r>
      <w:proofErr w:type="spellStart"/>
      <w:r>
        <w:t>Forcato</w:t>
      </w:r>
      <w:proofErr w:type="spellEnd"/>
      <w:r>
        <w:t xml:space="preserve">, C., Nicassio, F., </w:t>
      </w:r>
      <w:proofErr w:type="spellStart"/>
      <w:r>
        <w:t>Koshiyama</w:t>
      </w:r>
      <w:proofErr w:type="spellEnd"/>
      <w:r>
        <w:t xml:space="preserve">, D.B., </w:t>
      </w:r>
      <w:proofErr w:type="spellStart"/>
      <w:r>
        <w:t>Bortolotto</w:t>
      </w:r>
      <w:proofErr w:type="spellEnd"/>
      <w:r>
        <w:t xml:space="preserve">, C.C., Desai, R., </w:t>
      </w:r>
      <w:proofErr w:type="spellStart"/>
      <w:r>
        <w:t>Hautaniemi</w:t>
      </w:r>
      <w:proofErr w:type="spellEnd"/>
      <w:r>
        <w:t xml:space="preserve">, S., Zondervan, K.T., Becker, C.M. and Lawrenson, K. (2023) ‘Single-cell transcriptomic analysis of endometriosis’, </w:t>
      </w:r>
      <w:r>
        <w:rPr>
          <w:rStyle w:val="Emphasis"/>
        </w:rPr>
        <w:t>Nature Genetics</w:t>
      </w:r>
      <w:r>
        <w:t>, 55(2), pp. 255–267.</w:t>
      </w:r>
    </w:p>
    <w:p w14:paraId="782670B9" w14:textId="77777777" w:rsidR="00B815BF" w:rsidRDefault="00B815BF" w:rsidP="00FC1459">
      <w:pPr>
        <w:pStyle w:val="my-2"/>
        <w:jc w:val="both"/>
      </w:pPr>
      <w:r>
        <w:t xml:space="preserve">Garcia-Alonso, L., Iorio, F., Buljan, M., Garnett, M.J. and Saez-Rodriguez, J. (2023) ‘Single-cell and spatial transcriptomics in endometriosis: opportunities for understanding disease heterogeneity’, </w:t>
      </w:r>
      <w:r>
        <w:rPr>
          <w:rStyle w:val="Emphasis"/>
        </w:rPr>
        <w:t>Human Reproduction Update</w:t>
      </w:r>
      <w:r>
        <w:t>, 29(4), pp. 505–522.</w:t>
      </w:r>
    </w:p>
    <w:p w14:paraId="75BF60F1" w14:textId="77777777" w:rsidR="00B815BF" w:rsidRDefault="00B815BF" w:rsidP="00FC1459">
      <w:pPr>
        <w:pStyle w:val="my-2"/>
        <w:jc w:val="both"/>
      </w:pPr>
      <w:r>
        <w:t xml:space="preserve">Higgins, J.P.T., Thompson, S.G., Deeks, J.J. and Altman, D.G. (2003) ‘Measuring inconsistency in meta-analyses’, </w:t>
      </w:r>
      <w:r>
        <w:rPr>
          <w:rStyle w:val="Emphasis"/>
        </w:rPr>
        <w:t>BMJ</w:t>
      </w:r>
      <w:r>
        <w:t>, 327(7414), pp. 557–560.</w:t>
      </w:r>
    </w:p>
    <w:p w14:paraId="49F6E194" w14:textId="77777777" w:rsidR="00B815BF" w:rsidRDefault="00B815BF" w:rsidP="00FC1459">
      <w:pPr>
        <w:pStyle w:val="my-2"/>
        <w:jc w:val="both"/>
      </w:pPr>
      <w:r>
        <w:t>Hogg, S., Vashisht, A. and Rai, S. (</w:t>
      </w:r>
      <w:proofErr w:type="gramStart"/>
      <w:r>
        <w:t>2023) ‘</w:t>
      </w:r>
      <w:proofErr w:type="gramEnd"/>
      <w:r>
        <w:t xml:space="preserve">The role of immune cells and inflammatory mediators in endometriosis: current perspectives’, </w:t>
      </w:r>
      <w:r>
        <w:rPr>
          <w:rStyle w:val="Emphasis"/>
        </w:rPr>
        <w:t>Frontiers in Immunology</w:t>
      </w:r>
      <w:r>
        <w:t>, 14, 1125242.</w:t>
      </w:r>
    </w:p>
    <w:p w14:paraId="1F38D77D" w14:textId="77777777" w:rsidR="00B815BF" w:rsidRDefault="00B815BF" w:rsidP="00FC1459">
      <w:pPr>
        <w:pStyle w:val="my-2"/>
        <w:jc w:val="both"/>
      </w:pPr>
      <w:r>
        <w:t xml:space="preserve">Liu, Y., Chen, X., Zhang, Y., Wang, L. and Zhao, J. (2025) ‘Single-cell and spatial transcriptomic profiling revealed niche interactions sustaining growth of endometriotic lesions’, </w:t>
      </w:r>
      <w:r>
        <w:rPr>
          <w:rStyle w:val="Emphasis"/>
        </w:rPr>
        <w:t>Cell Genomics</w:t>
      </w:r>
      <w:r>
        <w:t>, 5(1), 100709.</w:t>
      </w:r>
    </w:p>
    <w:p w14:paraId="62AF9F63" w14:textId="77777777" w:rsidR="00B815BF" w:rsidRDefault="00B815BF" w:rsidP="00FC1459">
      <w:pPr>
        <w:pStyle w:val="my-2"/>
        <w:jc w:val="both"/>
      </w:pPr>
      <w:r>
        <w:t xml:space="preserve">Mittal, D., Gubin, M.M., Schreiber, R.D. and Smyth, M.J. (2024) ‘Cancer immune evasion, immunoediting and </w:t>
      </w:r>
      <w:proofErr w:type="spellStart"/>
      <w:r>
        <w:t>intratumour</w:t>
      </w:r>
      <w:proofErr w:type="spellEnd"/>
      <w:r>
        <w:t xml:space="preserve"> heterogeneity’, </w:t>
      </w:r>
      <w:r>
        <w:rPr>
          <w:rStyle w:val="Emphasis"/>
        </w:rPr>
        <w:t>Nature Reviews Immunology</w:t>
      </w:r>
      <w:r>
        <w:t>, 25, pp. 132–150.</w:t>
      </w:r>
    </w:p>
    <w:p w14:paraId="06829606" w14:textId="77777777" w:rsidR="00B815BF" w:rsidRDefault="00B815BF" w:rsidP="00FC1459">
      <w:pPr>
        <w:pStyle w:val="my-2"/>
        <w:jc w:val="both"/>
      </w:pPr>
      <w:r>
        <w:t xml:space="preserve">World Health Organization (2025) </w:t>
      </w:r>
      <w:r>
        <w:rPr>
          <w:rStyle w:val="Emphasis"/>
        </w:rPr>
        <w:t>Endometriosis</w:t>
      </w:r>
      <w:r>
        <w:t xml:space="preserve">. Available at: </w:t>
      </w:r>
      <w:hyperlink r:id="rId8" w:tgtFrame="_blank" w:history="1">
        <w:r>
          <w:rPr>
            <w:rStyle w:val="text-box-trim-both"/>
            <w:color w:val="0000FF"/>
            <w:u w:val="single"/>
          </w:rPr>
          <w:t>https://www.who.int/news-room/fact-sheets/detail/endometriosis</w:t>
        </w:r>
      </w:hyperlink>
      <w:r>
        <w:t xml:space="preserve"> (Accessed: 26 September 2026).</w:t>
      </w:r>
    </w:p>
    <w:p w14:paraId="5AC21DB9" w14:textId="77777777" w:rsidR="00B815BF" w:rsidRDefault="00B815BF" w:rsidP="00FC1459">
      <w:pPr>
        <w:pStyle w:val="my-2"/>
        <w:jc w:val="both"/>
      </w:pPr>
      <w:r>
        <w:lastRenderedPageBreak/>
        <w:t xml:space="preserve">Zondervan, K.T., Becker, C.M., Koga, K., </w:t>
      </w:r>
      <w:proofErr w:type="spellStart"/>
      <w:r>
        <w:t>Missmer</w:t>
      </w:r>
      <w:proofErr w:type="spellEnd"/>
      <w:r>
        <w:t xml:space="preserve">, S.A., Abbott, J.A. and Viganò, P. (2020) ‘Endometriosis’, </w:t>
      </w:r>
      <w:r>
        <w:rPr>
          <w:rStyle w:val="Emphasis"/>
        </w:rPr>
        <w:t>Nature Reviews Disease Primers</w:t>
      </w:r>
      <w:r>
        <w:t>, 6, 62.</w:t>
      </w:r>
    </w:p>
    <w:p w14:paraId="5F065006" w14:textId="77777777" w:rsidR="00D86F26" w:rsidRPr="00D86F26" w:rsidRDefault="00D86F26" w:rsidP="00FC1459">
      <w:pPr>
        <w:spacing w:before="100" w:beforeAutospacing="1" w:after="100" w:afterAutospacing="1"/>
        <w:jc w:val="both"/>
        <w:outlineLvl w:val="0"/>
        <w:rPr>
          <w:b/>
          <w:bCs/>
          <w:kern w:val="36"/>
          <w:sz w:val="48"/>
          <w:szCs w:val="48"/>
        </w:rPr>
      </w:pPr>
      <w:r w:rsidRPr="00D86F26">
        <w:rPr>
          <w:b/>
          <w:bCs/>
          <w:kern w:val="36"/>
          <w:sz w:val="48"/>
          <w:szCs w:val="48"/>
        </w:rPr>
        <w:t>References</w:t>
      </w:r>
    </w:p>
    <w:p w14:paraId="1038CF59" w14:textId="77777777" w:rsidR="00D86F26" w:rsidRPr="00D86F26" w:rsidRDefault="00D86F26" w:rsidP="00FC1459">
      <w:pPr>
        <w:spacing w:before="100" w:beforeAutospacing="1" w:after="100" w:afterAutospacing="1"/>
        <w:jc w:val="both"/>
        <w:rPr>
          <w:sz w:val="24"/>
          <w:szCs w:val="24"/>
        </w:rPr>
      </w:pPr>
      <w:r w:rsidRPr="00D86F26">
        <w:rPr>
          <w:sz w:val="24"/>
          <w:szCs w:val="24"/>
        </w:rPr>
        <w:t xml:space="preserve">Aoyagi, Y., Nasu, K., Kai, K., Hirakawa, T., Okamoto, M., Kawano, Y., Abe, W., Tsukamoto, Y., Moriyama, M. and </w:t>
      </w:r>
      <w:proofErr w:type="spellStart"/>
      <w:r w:rsidRPr="00D86F26">
        <w:rPr>
          <w:sz w:val="24"/>
          <w:szCs w:val="24"/>
        </w:rPr>
        <w:t>Narahara</w:t>
      </w:r>
      <w:proofErr w:type="spellEnd"/>
      <w:r w:rsidRPr="00D86F26">
        <w:rPr>
          <w:sz w:val="24"/>
          <w:szCs w:val="24"/>
        </w:rPr>
        <w:t xml:space="preserve">, H. (2016) ‘Decidualization differentially regulates microRNA expression in </w:t>
      </w:r>
      <w:proofErr w:type="spellStart"/>
      <w:r w:rsidRPr="00D86F26">
        <w:rPr>
          <w:sz w:val="24"/>
          <w:szCs w:val="24"/>
        </w:rPr>
        <w:t>eutopic</w:t>
      </w:r>
      <w:proofErr w:type="spellEnd"/>
      <w:r w:rsidRPr="00D86F26">
        <w:rPr>
          <w:sz w:val="24"/>
          <w:szCs w:val="24"/>
        </w:rPr>
        <w:t xml:space="preserve"> and ectopic endometrial stromal cells’, </w:t>
      </w:r>
      <w:r w:rsidRPr="00D86F26">
        <w:rPr>
          <w:i/>
          <w:iCs/>
          <w:sz w:val="24"/>
          <w:szCs w:val="24"/>
        </w:rPr>
        <w:t>Reproductive Sciences</w:t>
      </w:r>
      <w:r w:rsidRPr="00D86F26">
        <w:rPr>
          <w:sz w:val="24"/>
          <w:szCs w:val="24"/>
        </w:rPr>
        <w:t xml:space="preserve">, 24(3), pp. 445–455. </w:t>
      </w:r>
      <w:proofErr w:type="spellStart"/>
      <w:r w:rsidRPr="00D86F26">
        <w:rPr>
          <w:sz w:val="24"/>
          <w:szCs w:val="24"/>
        </w:rPr>
        <w:t>doi</w:t>
      </w:r>
      <w:proofErr w:type="spellEnd"/>
      <w:r w:rsidRPr="00D86F26">
        <w:rPr>
          <w:sz w:val="24"/>
          <w:szCs w:val="24"/>
        </w:rPr>
        <w:t>: 10.1177/1933719116657894.</w:t>
      </w:r>
    </w:p>
    <w:p w14:paraId="6E7742A6" w14:textId="77777777" w:rsidR="00D86F26" w:rsidRPr="00D86F26" w:rsidRDefault="00D86F26" w:rsidP="00FC1459">
      <w:pPr>
        <w:spacing w:before="100" w:beforeAutospacing="1" w:after="100" w:afterAutospacing="1"/>
        <w:jc w:val="both"/>
        <w:rPr>
          <w:sz w:val="24"/>
          <w:szCs w:val="24"/>
        </w:rPr>
      </w:pPr>
      <w:r w:rsidRPr="00D86F26">
        <w:rPr>
          <w:sz w:val="24"/>
          <w:szCs w:val="24"/>
        </w:rPr>
        <w:t>Bhat, A. et al. (</w:t>
      </w:r>
      <w:proofErr w:type="gramStart"/>
      <w:r w:rsidRPr="00D86F26">
        <w:rPr>
          <w:sz w:val="24"/>
          <w:szCs w:val="24"/>
        </w:rPr>
        <w:t>2019) ‘</w:t>
      </w:r>
      <w:proofErr w:type="gramEnd"/>
      <w:r w:rsidRPr="00D86F26">
        <w:rPr>
          <w:sz w:val="24"/>
          <w:szCs w:val="24"/>
        </w:rPr>
        <w:t xml:space="preserve">Y chromosome </w:t>
      </w:r>
      <w:proofErr w:type="spellStart"/>
      <w:r w:rsidRPr="00D86F26">
        <w:rPr>
          <w:sz w:val="24"/>
          <w:szCs w:val="24"/>
        </w:rPr>
        <w:t>microchimerism</w:t>
      </w:r>
      <w:proofErr w:type="spellEnd"/>
      <w:r w:rsidRPr="00D86F26">
        <w:rPr>
          <w:sz w:val="24"/>
          <w:szCs w:val="24"/>
        </w:rPr>
        <w:t xml:space="preserve"> and its role in the pathogenesis of </w:t>
      </w:r>
      <w:proofErr w:type="gramStart"/>
      <w:r w:rsidRPr="00D86F26">
        <w:rPr>
          <w:sz w:val="24"/>
          <w:szCs w:val="24"/>
        </w:rPr>
        <w:t>endometriosis’,</w:t>
      </w:r>
      <w:proofErr w:type="gramEnd"/>
      <w:r w:rsidRPr="00D86F26">
        <w:rPr>
          <w:sz w:val="24"/>
          <w:szCs w:val="24"/>
        </w:rPr>
        <w:t xml:space="preserve"> </w:t>
      </w:r>
      <w:r w:rsidRPr="00D86F26">
        <w:rPr>
          <w:i/>
          <w:iCs/>
          <w:sz w:val="24"/>
          <w:szCs w:val="24"/>
        </w:rPr>
        <w:t>Gene Expression Patterns</w:t>
      </w:r>
      <w:r w:rsidRPr="00D86F26">
        <w:rPr>
          <w:sz w:val="24"/>
          <w:szCs w:val="24"/>
        </w:rPr>
        <w:t>. Gene Expression Omnibus accession: GSE120103.</w:t>
      </w:r>
    </w:p>
    <w:p w14:paraId="7044D8C8" w14:textId="77777777" w:rsidR="00D86F26" w:rsidRPr="00D86F26" w:rsidRDefault="00D86F26" w:rsidP="00FC1459">
      <w:pPr>
        <w:spacing w:before="100" w:beforeAutospacing="1" w:after="100" w:afterAutospacing="1"/>
        <w:jc w:val="both"/>
        <w:rPr>
          <w:sz w:val="24"/>
          <w:szCs w:val="24"/>
        </w:rPr>
      </w:pPr>
      <w:r w:rsidRPr="00D86F26">
        <w:rPr>
          <w:sz w:val="24"/>
          <w:szCs w:val="24"/>
        </w:rPr>
        <w:t xml:space="preserve">Burney, R.O., Talbi, S., Hamilton, A.E., Vo, K.C., Nyegaard, M., Nezhat, C.R., Lessey, B.A. and Giudice, L.C. (2007) ‘Gene expression analysis of endometrium reveals progesterone resistance and candidate susceptibility genes in women with endometriosis’, </w:t>
      </w:r>
      <w:r w:rsidRPr="00D86F26">
        <w:rPr>
          <w:i/>
          <w:iCs/>
          <w:sz w:val="24"/>
          <w:szCs w:val="24"/>
        </w:rPr>
        <w:t>Endocrinology</w:t>
      </w:r>
      <w:r w:rsidRPr="00D86F26">
        <w:rPr>
          <w:sz w:val="24"/>
          <w:szCs w:val="24"/>
        </w:rPr>
        <w:t xml:space="preserve">, 148(8), pp. 3814–3826. </w:t>
      </w:r>
      <w:proofErr w:type="spellStart"/>
      <w:r w:rsidRPr="00D86F26">
        <w:rPr>
          <w:sz w:val="24"/>
          <w:szCs w:val="24"/>
        </w:rPr>
        <w:t>doi</w:t>
      </w:r>
      <w:proofErr w:type="spellEnd"/>
      <w:r w:rsidRPr="00D86F26">
        <w:rPr>
          <w:sz w:val="24"/>
          <w:szCs w:val="24"/>
        </w:rPr>
        <w:t>: 10.1210/en.2006-1694.</w:t>
      </w:r>
    </w:p>
    <w:p w14:paraId="1C3D61E0" w14:textId="77777777" w:rsidR="00D86F26" w:rsidRPr="00D86F26" w:rsidRDefault="00D86F26" w:rsidP="00FC1459">
      <w:pPr>
        <w:spacing w:before="100" w:beforeAutospacing="1" w:after="100" w:afterAutospacing="1"/>
        <w:jc w:val="both"/>
        <w:rPr>
          <w:sz w:val="24"/>
          <w:szCs w:val="24"/>
        </w:rPr>
      </w:pPr>
      <w:r w:rsidRPr="00D86F26">
        <w:rPr>
          <w:sz w:val="24"/>
          <w:szCs w:val="24"/>
        </w:rPr>
        <w:t>Crispi, S. et al. (</w:t>
      </w:r>
      <w:proofErr w:type="gramStart"/>
      <w:r w:rsidRPr="00D86F26">
        <w:rPr>
          <w:sz w:val="24"/>
          <w:szCs w:val="24"/>
        </w:rPr>
        <w:t>2013) ‘</w:t>
      </w:r>
      <w:proofErr w:type="gramEnd"/>
      <w:r w:rsidRPr="00D86F26">
        <w:rPr>
          <w:sz w:val="24"/>
          <w:szCs w:val="24"/>
        </w:rPr>
        <w:t>Transcriptional profiling of endometriosis tissues identifies genes associated with endometriosis’, Gene Expression Omnibus accession: GSE25628.</w:t>
      </w:r>
    </w:p>
    <w:p w14:paraId="79E09388" w14:textId="77777777" w:rsidR="00D86F26" w:rsidRPr="00D86F26" w:rsidRDefault="00D86F26" w:rsidP="00FC1459">
      <w:pPr>
        <w:spacing w:before="100" w:beforeAutospacing="1" w:after="100" w:afterAutospacing="1"/>
        <w:jc w:val="both"/>
        <w:rPr>
          <w:sz w:val="24"/>
          <w:szCs w:val="24"/>
        </w:rPr>
      </w:pPr>
      <w:r w:rsidRPr="00D86F26">
        <w:rPr>
          <w:sz w:val="24"/>
          <w:szCs w:val="24"/>
        </w:rPr>
        <w:t xml:space="preserve">Fonseca, M.A.S., Suzuki, S., Pinto-Teixeira, J., Licht, I., </w:t>
      </w:r>
      <w:proofErr w:type="spellStart"/>
      <w:r w:rsidRPr="00D86F26">
        <w:rPr>
          <w:sz w:val="24"/>
          <w:szCs w:val="24"/>
        </w:rPr>
        <w:t>Balvers</w:t>
      </w:r>
      <w:proofErr w:type="spellEnd"/>
      <w:r w:rsidRPr="00D86F26">
        <w:rPr>
          <w:sz w:val="24"/>
          <w:szCs w:val="24"/>
        </w:rPr>
        <w:t xml:space="preserve">, T., Todeschini, A.L., Zhang, J., Caillet, M., Basset, P., Van Nyen, J., </w:t>
      </w:r>
      <w:proofErr w:type="spellStart"/>
      <w:r w:rsidRPr="00D86F26">
        <w:rPr>
          <w:sz w:val="24"/>
          <w:szCs w:val="24"/>
        </w:rPr>
        <w:t>Forcato</w:t>
      </w:r>
      <w:proofErr w:type="spellEnd"/>
      <w:r w:rsidRPr="00D86F26">
        <w:rPr>
          <w:sz w:val="24"/>
          <w:szCs w:val="24"/>
        </w:rPr>
        <w:t xml:space="preserve">, C., Nicassio, F., </w:t>
      </w:r>
      <w:proofErr w:type="spellStart"/>
      <w:r w:rsidRPr="00D86F26">
        <w:rPr>
          <w:sz w:val="24"/>
          <w:szCs w:val="24"/>
        </w:rPr>
        <w:t>Koshiyama</w:t>
      </w:r>
      <w:proofErr w:type="spellEnd"/>
      <w:r w:rsidRPr="00D86F26">
        <w:rPr>
          <w:sz w:val="24"/>
          <w:szCs w:val="24"/>
        </w:rPr>
        <w:t xml:space="preserve">, D.B., </w:t>
      </w:r>
      <w:proofErr w:type="spellStart"/>
      <w:r w:rsidRPr="00D86F26">
        <w:rPr>
          <w:sz w:val="24"/>
          <w:szCs w:val="24"/>
        </w:rPr>
        <w:t>Bortolotto</w:t>
      </w:r>
      <w:proofErr w:type="spellEnd"/>
      <w:r w:rsidRPr="00D86F26">
        <w:rPr>
          <w:sz w:val="24"/>
          <w:szCs w:val="24"/>
        </w:rPr>
        <w:t xml:space="preserve">, C.C., Desai, R., </w:t>
      </w:r>
      <w:proofErr w:type="spellStart"/>
      <w:r w:rsidRPr="00D86F26">
        <w:rPr>
          <w:sz w:val="24"/>
          <w:szCs w:val="24"/>
        </w:rPr>
        <w:t>Hautaniemi</w:t>
      </w:r>
      <w:proofErr w:type="spellEnd"/>
      <w:r w:rsidRPr="00D86F26">
        <w:rPr>
          <w:sz w:val="24"/>
          <w:szCs w:val="24"/>
        </w:rPr>
        <w:t xml:space="preserve">, S., Zondervan, K.T., Becker, C.M. and Lawrenson, K. (2023) ‘Single-cell transcriptomic analysis of endometriosis’, </w:t>
      </w:r>
      <w:r w:rsidRPr="00D86F26">
        <w:rPr>
          <w:i/>
          <w:iCs/>
          <w:sz w:val="24"/>
          <w:szCs w:val="24"/>
        </w:rPr>
        <w:t>Nature Genetics</w:t>
      </w:r>
      <w:r w:rsidRPr="00D86F26">
        <w:rPr>
          <w:sz w:val="24"/>
          <w:szCs w:val="24"/>
        </w:rPr>
        <w:t xml:space="preserve">, 55(2), pp. 255–267. </w:t>
      </w:r>
      <w:proofErr w:type="spellStart"/>
      <w:r w:rsidRPr="00D86F26">
        <w:rPr>
          <w:sz w:val="24"/>
          <w:szCs w:val="24"/>
        </w:rPr>
        <w:t>doi</w:t>
      </w:r>
      <w:proofErr w:type="spellEnd"/>
      <w:r w:rsidRPr="00D86F26">
        <w:rPr>
          <w:sz w:val="24"/>
          <w:szCs w:val="24"/>
        </w:rPr>
        <w:t>: 10.1038/s41588-022-01254-1.</w:t>
      </w:r>
    </w:p>
    <w:p w14:paraId="3788BB59" w14:textId="77777777" w:rsidR="00D86F26" w:rsidRPr="00D86F26" w:rsidRDefault="00D86F26" w:rsidP="00FC1459">
      <w:pPr>
        <w:spacing w:before="100" w:beforeAutospacing="1" w:after="100" w:afterAutospacing="1"/>
        <w:jc w:val="both"/>
        <w:rPr>
          <w:sz w:val="24"/>
          <w:szCs w:val="24"/>
        </w:rPr>
      </w:pPr>
      <w:r w:rsidRPr="00D86F26">
        <w:rPr>
          <w:sz w:val="24"/>
          <w:szCs w:val="24"/>
        </w:rPr>
        <w:t xml:space="preserve">Hever, A., Roth, R.B., </w:t>
      </w:r>
      <w:proofErr w:type="spellStart"/>
      <w:r w:rsidRPr="00D86F26">
        <w:rPr>
          <w:sz w:val="24"/>
          <w:szCs w:val="24"/>
        </w:rPr>
        <w:t>Hevezi</w:t>
      </w:r>
      <w:proofErr w:type="spellEnd"/>
      <w:r w:rsidRPr="00D86F26">
        <w:rPr>
          <w:sz w:val="24"/>
          <w:szCs w:val="24"/>
        </w:rPr>
        <w:t xml:space="preserve">, P., Marin, M.E., Acosta, J.A., Acosta, H., Rojas, J., Herrera, B., Herrera, P., García, R., Lee, J., Stephens, K., Fernández, S., Casiano, C.A., Hundley, S., Gilhusen, N., Alberts, D., Futscher, B., Littman, A., Rafii, S. and Fisher, D. (2007) ‘Human endometriosis is associated with plasma cells and overexpression of B lymphocyte stimulator’, </w:t>
      </w:r>
      <w:r w:rsidRPr="00D86F26">
        <w:rPr>
          <w:i/>
          <w:iCs/>
          <w:sz w:val="24"/>
          <w:szCs w:val="24"/>
        </w:rPr>
        <w:t>Proceedings of the National Academy of Sciences</w:t>
      </w:r>
      <w:r w:rsidRPr="00D86F26">
        <w:rPr>
          <w:sz w:val="24"/>
          <w:szCs w:val="24"/>
        </w:rPr>
        <w:t xml:space="preserve">, 104(30), pp. 12451–12456. </w:t>
      </w:r>
      <w:proofErr w:type="spellStart"/>
      <w:r w:rsidRPr="00D86F26">
        <w:rPr>
          <w:sz w:val="24"/>
          <w:szCs w:val="24"/>
        </w:rPr>
        <w:t>doi</w:t>
      </w:r>
      <w:proofErr w:type="spellEnd"/>
      <w:r w:rsidRPr="00D86F26">
        <w:rPr>
          <w:sz w:val="24"/>
          <w:szCs w:val="24"/>
        </w:rPr>
        <w:t>: 10.1073/pnas.0702065104.</w:t>
      </w:r>
    </w:p>
    <w:p w14:paraId="13881163" w14:textId="77777777" w:rsidR="00D86F26" w:rsidRPr="00D86F26" w:rsidRDefault="00D86F26" w:rsidP="00FC1459">
      <w:pPr>
        <w:spacing w:before="100" w:beforeAutospacing="1" w:after="100" w:afterAutospacing="1"/>
        <w:jc w:val="both"/>
        <w:rPr>
          <w:sz w:val="24"/>
          <w:szCs w:val="24"/>
        </w:rPr>
      </w:pPr>
      <w:r w:rsidRPr="00D86F26">
        <w:rPr>
          <w:sz w:val="24"/>
          <w:szCs w:val="24"/>
        </w:rPr>
        <w:t xml:space="preserve">Higgins, J.P.T., Thompson, S.G., Deeks, J.J. and Altman, D.G. (2003) ‘Measuring inconsistency in meta-analyses’, </w:t>
      </w:r>
      <w:r w:rsidRPr="00D86F26">
        <w:rPr>
          <w:i/>
          <w:iCs/>
          <w:sz w:val="24"/>
          <w:szCs w:val="24"/>
        </w:rPr>
        <w:t>BMJ</w:t>
      </w:r>
      <w:r w:rsidRPr="00D86F26">
        <w:rPr>
          <w:sz w:val="24"/>
          <w:szCs w:val="24"/>
        </w:rPr>
        <w:t xml:space="preserve">, 327(7414), pp. 557–560. </w:t>
      </w:r>
      <w:proofErr w:type="spellStart"/>
      <w:r w:rsidRPr="00D86F26">
        <w:rPr>
          <w:sz w:val="24"/>
          <w:szCs w:val="24"/>
        </w:rPr>
        <w:t>doi</w:t>
      </w:r>
      <w:proofErr w:type="spellEnd"/>
      <w:r w:rsidRPr="00D86F26">
        <w:rPr>
          <w:sz w:val="24"/>
          <w:szCs w:val="24"/>
        </w:rPr>
        <w:t>: 10.1136/bmj.327.7414.557.</w:t>
      </w:r>
    </w:p>
    <w:p w14:paraId="660FC473" w14:textId="77777777" w:rsidR="00D86F26" w:rsidRPr="00D86F26" w:rsidRDefault="00D86F26" w:rsidP="00FC1459">
      <w:pPr>
        <w:spacing w:before="100" w:beforeAutospacing="1" w:after="100" w:afterAutospacing="1"/>
        <w:jc w:val="both"/>
        <w:rPr>
          <w:sz w:val="24"/>
          <w:szCs w:val="24"/>
        </w:rPr>
      </w:pPr>
      <w:r w:rsidRPr="00D86F26">
        <w:rPr>
          <w:sz w:val="24"/>
          <w:szCs w:val="24"/>
        </w:rPr>
        <w:t>Marečková, M. et al. (2021) ‘An integrated single-cell atlas of the human endometrium’, Gene Expression Omnibus accession: GSE183837.</w:t>
      </w:r>
    </w:p>
    <w:p w14:paraId="05F0668B" w14:textId="77777777" w:rsidR="00D86F26" w:rsidRPr="00D86F26" w:rsidRDefault="00D86F26" w:rsidP="00FC1459">
      <w:pPr>
        <w:spacing w:before="100" w:beforeAutospacing="1" w:after="100" w:afterAutospacing="1"/>
        <w:jc w:val="both"/>
        <w:rPr>
          <w:sz w:val="24"/>
          <w:szCs w:val="24"/>
        </w:rPr>
      </w:pPr>
      <w:r w:rsidRPr="00D86F26">
        <w:rPr>
          <w:sz w:val="24"/>
          <w:szCs w:val="24"/>
        </w:rPr>
        <w:t>Roth, L.W. et al. (</w:t>
      </w:r>
      <w:proofErr w:type="gramStart"/>
      <w:r w:rsidRPr="00D86F26">
        <w:rPr>
          <w:sz w:val="24"/>
          <w:szCs w:val="24"/>
        </w:rPr>
        <w:t>2010) ‘</w:t>
      </w:r>
      <w:proofErr w:type="gramEnd"/>
      <w:r w:rsidRPr="00D86F26">
        <w:rPr>
          <w:sz w:val="24"/>
          <w:szCs w:val="24"/>
        </w:rPr>
        <w:t>Endometriosis and body mass index’, Gene Expression Omnibus accession: GSE7307.</w:t>
      </w:r>
    </w:p>
    <w:p w14:paraId="729A9226" w14:textId="77777777" w:rsidR="00D86F26" w:rsidRPr="00D86F26" w:rsidRDefault="00D86F26" w:rsidP="00FC1459">
      <w:pPr>
        <w:spacing w:before="100" w:beforeAutospacing="1" w:after="100" w:afterAutospacing="1"/>
        <w:jc w:val="both"/>
        <w:rPr>
          <w:sz w:val="24"/>
          <w:szCs w:val="24"/>
        </w:rPr>
      </w:pPr>
      <w:r w:rsidRPr="00D86F26">
        <w:rPr>
          <w:sz w:val="24"/>
          <w:szCs w:val="24"/>
        </w:rPr>
        <w:t xml:space="preserve">Saul, D., Kosinsky, R.L., Atkinson, E.J., Doolittle, M.L., Zhang, X., LeBrasseur, N.K., </w:t>
      </w:r>
      <w:proofErr w:type="spellStart"/>
      <w:r w:rsidRPr="00D86F26">
        <w:rPr>
          <w:sz w:val="24"/>
          <w:szCs w:val="24"/>
        </w:rPr>
        <w:t>Pignolo</w:t>
      </w:r>
      <w:proofErr w:type="spellEnd"/>
      <w:r w:rsidRPr="00D86F26">
        <w:rPr>
          <w:sz w:val="24"/>
          <w:szCs w:val="24"/>
        </w:rPr>
        <w:t xml:space="preserve">, R.J., Robbins, P.D., </w:t>
      </w:r>
      <w:proofErr w:type="spellStart"/>
      <w:r w:rsidRPr="00D86F26">
        <w:rPr>
          <w:sz w:val="24"/>
          <w:szCs w:val="24"/>
        </w:rPr>
        <w:t>Lorié</w:t>
      </w:r>
      <w:proofErr w:type="spellEnd"/>
      <w:r w:rsidRPr="00D86F26">
        <w:rPr>
          <w:sz w:val="24"/>
          <w:szCs w:val="24"/>
        </w:rPr>
        <w:t xml:space="preserve">, S., Passos, J.F., Chamberlain, G., Becerra, E., Jurk, D., Jensen, M.K., Hickson, L.T.J., Xue, A., Monroe, D.G., </w:t>
      </w:r>
      <w:proofErr w:type="spellStart"/>
      <w:r w:rsidRPr="00D86F26">
        <w:rPr>
          <w:sz w:val="24"/>
          <w:szCs w:val="24"/>
        </w:rPr>
        <w:t>Tchkonia</w:t>
      </w:r>
      <w:proofErr w:type="spellEnd"/>
      <w:r w:rsidRPr="00D86F26">
        <w:rPr>
          <w:sz w:val="24"/>
          <w:szCs w:val="24"/>
        </w:rPr>
        <w:t>, T., Kirkland, J.L., Farr, J.N. and Khosla, S. (2022) ‘A new gene set identifies senescent cells and predicts senescence-</w:t>
      </w:r>
      <w:r w:rsidRPr="00D86F26">
        <w:rPr>
          <w:sz w:val="24"/>
          <w:szCs w:val="24"/>
        </w:rPr>
        <w:lastRenderedPageBreak/>
        <w:t xml:space="preserve">associated pathways across tissues’, </w:t>
      </w:r>
      <w:r w:rsidRPr="00D86F26">
        <w:rPr>
          <w:i/>
          <w:iCs/>
          <w:sz w:val="24"/>
          <w:szCs w:val="24"/>
        </w:rPr>
        <w:t>Nature Communications</w:t>
      </w:r>
      <w:r w:rsidRPr="00D86F26">
        <w:rPr>
          <w:sz w:val="24"/>
          <w:szCs w:val="24"/>
        </w:rPr>
        <w:t xml:space="preserve">, 13, 4827. </w:t>
      </w:r>
      <w:proofErr w:type="spellStart"/>
      <w:r w:rsidRPr="00D86F26">
        <w:rPr>
          <w:sz w:val="24"/>
          <w:szCs w:val="24"/>
        </w:rPr>
        <w:t>doi</w:t>
      </w:r>
      <w:proofErr w:type="spellEnd"/>
      <w:r w:rsidRPr="00D86F26">
        <w:rPr>
          <w:sz w:val="24"/>
          <w:szCs w:val="24"/>
        </w:rPr>
        <w:t>: 10.1038/s41467-022-32552-1.</w:t>
      </w:r>
    </w:p>
    <w:p w14:paraId="2EE5A9BA" w14:textId="77777777" w:rsidR="00D86F26" w:rsidRPr="00D86F26" w:rsidRDefault="00D86F26" w:rsidP="00FC1459">
      <w:pPr>
        <w:spacing w:before="100" w:beforeAutospacing="1" w:after="100" w:afterAutospacing="1"/>
        <w:jc w:val="both"/>
        <w:rPr>
          <w:sz w:val="24"/>
          <w:szCs w:val="24"/>
        </w:rPr>
      </w:pPr>
      <w:r w:rsidRPr="00D86F26">
        <w:rPr>
          <w:sz w:val="24"/>
          <w:szCs w:val="24"/>
        </w:rPr>
        <w:t xml:space="preserve">Tan, S.J. et al. (2022) ‘Single cell analysis of endometriosis reveals a coordinated transcriptional program driving immunotolerance and angiogenesis across </w:t>
      </w:r>
      <w:proofErr w:type="spellStart"/>
      <w:r w:rsidRPr="00D86F26">
        <w:rPr>
          <w:sz w:val="24"/>
          <w:szCs w:val="24"/>
        </w:rPr>
        <w:t>eutopic</w:t>
      </w:r>
      <w:proofErr w:type="spellEnd"/>
      <w:r w:rsidRPr="00D86F26">
        <w:rPr>
          <w:sz w:val="24"/>
          <w:szCs w:val="24"/>
        </w:rPr>
        <w:t xml:space="preserve"> and ectopic tissues’, </w:t>
      </w:r>
      <w:r w:rsidRPr="00D86F26">
        <w:rPr>
          <w:i/>
          <w:iCs/>
          <w:sz w:val="24"/>
          <w:szCs w:val="24"/>
        </w:rPr>
        <w:t>Cell Reports Medicine</w:t>
      </w:r>
      <w:r w:rsidRPr="00D86F26">
        <w:rPr>
          <w:sz w:val="24"/>
          <w:szCs w:val="24"/>
        </w:rPr>
        <w:t xml:space="preserve">, 3(8), 100689. </w:t>
      </w:r>
      <w:proofErr w:type="spellStart"/>
      <w:r w:rsidRPr="00D86F26">
        <w:rPr>
          <w:sz w:val="24"/>
          <w:szCs w:val="24"/>
        </w:rPr>
        <w:t>doi</w:t>
      </w:r>
      <w:proofErr w:type="spellEnd"/>
      <w:r w:rsidRPr="00D86F26">
        <w:rPr>
          <w:sz w:val="24"/>
          <w:szCs w:val="24"/>
        </w:rPr>
        <w:t>: 10.1016/j.xcrm.2022.100689.</w:t>
      </w:r>
    </w:p>
    <w:p w14:paraId="3BAD0A08" w14:textId="77777777" w:rsidR="00D86F26" w:rsidRPr="00D86F26" w:rsidRDefault="00D86F26" w:rsidP="00FC1459">
      <w:pPr>
        <w:spacing w:before="100" w:beforeAutospacing="1" w:after="100" w:afterAutospacing="1"/>
        <w:jc w:val="both"/>
        <w:rPr>
          <w:sz w:val="24"/>
          <w:szCs w:val="24"/>
        </w:rPr>
      </w:pPr>
      <w:proofErr w:type="spellStart"/>
      <w:r w:rsidRPr="00D86F26">
        <w:rPr>
          <w:sz w:val="24"/>
          <w:szCs w:val="24"/>
        </w:rPr>
        <w:t>Tamaresis</w:t>
      </w:r>
      <w:proofErr w:type="spellEnd"/>
      <w:r w:rsidRPr="00D86F26">
        <w:rPr>
          <w:sz w:val="24"/>
          <w:szCs w:val="24"/>
        </w:rPr>
        <w:t xml:space="preserve">, J.S., Irwin, J.C., </w:t>
      </w:r>
      <w:proofErr w:type="spellStart"/>
      <w:r w:rsidRPr="00D86F26">
        <w:rPr>
          <w:sz w:val="24"/>
          <w:szCs w:val="24"/>
        </w:rPr>
        <w:t>Goldfien</w:t>
      </w:r>
      <w:proofErr w:type="spellEnd"/>
      <w:r w:rsidRPr="00D86F26">
        <w:rPr>
          <w:sz w:val="24"/>
          <w:szCs w:val="24"/>
        </w:rPr>
        <w:t xml:space="preserve">, G.T., Rabban, J.T., Burney, R.O., Nezhat, C., DePaolo, L.V. and Giudice, L.C. (2014) ‘Molecular classification of endometriosis and disease stage using high-dimensional genomic data’, </w:t>
      </w:r>
      <w:r w:rsidRPr="00D86F26">
        <w:rPr>
          <w:i/>
          <w:iCs/>
          <w:sz w:val="24"/>
          <w:szCs w:val="24"/>
        </w:rPr>
        <w:t>Endocrinology</w:t>
      </w:r>
      <w:r w:rsidRPr="00D86F26">
        <w:rPr>
          <w:sz w:val="24"/>
          <w:szCs w:val="24"/>
        </w:rPr>
        <w:t xml:space="preserve">, 155(12), pp. 4986–4999. </w:t>
      </w:r>
      <w:proofErr w:type="spellStart"/>
      <w:r w:rsidRPr="00D86F26">
        <w:rPr>
          <w:sz w:val="24"/>
          <w:szCs w:val="24"/>
        </w:rPr>
        <w:t>doi</w:t>
      </w:r>
      <w:proofErr w:type="spellEnd"/>
      <w:r w:rsidRPr="00D86F26">
        <w:rPr>
          <w:sz w:val="24"/>
          <w:szCs w:val="24"/>
        </w:rPr>
        <w:t>: 10.1210/en.2014-1426.</w:t>
      </w:r>
    </w:p>
    <w:p w14:paraId="786696FD" w14:textId="77777777" w:rsidR="00D86F26" w:rsidRPr="00D86F26" w:rsidRDefault="00D86F26" w:rsidP="00FC1459">
      <w:pPr>
        <w:spacing w:before="100" w:beforeAutospacing="1" w:after="100" w:afterAutospacing="1"/>
        <w:jc w:val="both"/>
        <w:rPr>
          <w:sz w:val="24"/>
          <w:szCs w:val="24"/>
        </w:rPr>
      </w:pPr>
      <w:proofErr w:type="spellStart"/>
      <w:r w:rsidRPr="00D86F26">
        <w:rPr>
          <w:sz w:val="24"/>
          <w:szCs w:val="24"/>
        </w:rPr>
        <w:t>Viechtbauer</w:t>
      </w:r>
      <w:proofErr w:type="spellEnd"/>
      <w:r w:rsidRPr="00D86F26">
        <w:rPr>
          <w:sz w:val="24"/>
          <w:szCs w:val="24"/>
        </w:rPr>
        <w:t xml:space="preserve">, W. (2010) ‘Conducting meta-analyses in R with the </w:t>
      </w:r>
      <w:proofErr w:type="spellStart"/>
      <w:r w:rsidRPr="00D86F26">
        <w:rPr>
          <w:sz w:val="24"/>
          <w:szCs w:val="24"/>
        </w:rPr>
        <w:t>metafor</w:t>
      </w:r>
      <w:proofErr w:type="spellEnd"/>
      <w:r w:rsidRPr="00D86F26">
        <w:rPr>
          <w:sz w:val="24"/>
          <w:szCs w:val="24"/>
        </w:rPr>
        <w:t xml:space="preserve"> package’, </w:t>
      </w:r>
      <w:r w:rsidRPr="00D86F26">
        <w:rPr>
          <w:i/>
          <w:iCs/>
          <w:sz w:val="24"/>
          <w:szCs w:val="24"/>
        </w:rPr>
        <w:t>Journal of Statistical Software</w:t>
      </w:r>
      <w:r w:rsidRPr="00D86F26">
        <w:rPr>
          <w:sz w:val="24"/>
          <w:szCs w:val="24"/>
        </w:rPr>
        <w:t xml:space="preserve">, 36(3), pp. 1–48. </w:t>
      </w:r>
      <w:proofErr w:type="spellStart"/>
      <w:r w:rsidRPr="00D86F26">
        <w:rPr>
          <w:sz w:val="24"/>
          <w:szCs w:val="24"/>
        </w:rPr>
        <w:t>doi</w:t>
      </w:r>
      <w:proofErr w:type="spellEnd"/>
      <w:r w:rsidRPr="00D86F26">
        <w:rPr>
          <w:sz w:val="24"/>
          <w:szCs w:val="24"/>
        </w:rPr>
        <w:t>: 10.18637/</w:t>
      </w:r>
      <w:proofErr w:type="gramStart"/>
      <w:r w:rsidRPr="00D86F26">
        <w:rPr>
          <w:sz w:val="24"/>
          <w:szCs w:val="24"/>
        </w:rPr>
        <w:t>jss.v036.i</w:t>
      </w:r>
      <w:proofErr w:type="gramEnd"/>
      <w:r w:rsidRPr="00D86F26">
        <w:rPr>
          <w:sz w:val="24"/>
          <w:szCs w:val="24"/>
        </w:rPr>
        <w:t>03.</w:t>
      </w:r>
    </w:p>
    <w:p w14:paraId="685E193B" w14:textId="77777777" w:rsidR="00B815BF" w:rsidRPr="008D499C" w:rsidRDefault="00B815BF" w:rsidP="00FC1459">
      <w:pPr>
        <w:jc w:val="both"/>
        <w:rPr>
          <w:rFonts w:asciiTheme="majorBidi" w:hAnsiTheme="majorBidi" w:cstheme="majorBidi"/>
          <w:b/>
          <w:bCs/>
          <w:sz w:val="28"/>
          <w:szCs w:val="28"/>
        </w:rPr>
      </w:pPr>
    </w:p>
    <w:sectPr w:rsidR="00B815BF" w:rsidRPr="008D499C">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E0483" w14:textId="77777777" w:rsidR="00A84DBC" w:rsidRDefault="00A84DBC">
      <w:r>
        <w:separator/>
      </w:r>
    </w:p>
  </w:endnote>
  <w:endnote w:type="continuationSeparator" w:id="0">
    <w:p w14:paraId="358D0DD8" w14:textId="77777777" w:rsidR="00A84DBC" w:rsidRDefault="00A84D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7F303" w14:textId="77777777" w:rsidR="008032CB" w:rsidRDefault="00000000">
    <w:pPr>
      <w:spacing w:after="160" w:line="276" w:lineRule="auto"/>
      <w:jc w:val="center"/>
    </w:pPr>
    <w:r>
      <w:fldChar w:fldCharType="begin"/>
    </w:r>
    <w:r>
      <w:instrText>PAGE</w:instrText>
    </w:r>
    <w:r>
      <w:fldChar w:fldCharType="separate"/>
    </w:r>
    <w:r w:rsidR="008D499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8008B" w14:textId="77777777" w:rsidR="00A84DBC" w:rsidRDefault="00A84DBC">
      <w:r>
        <w:separator/>
      </w:r>
    </w:p>
  </w:footnote>
  <w:footnote w:type="continuationSeparator" w:id="0">
    <w:p w14:paraId="293F91E7" w14:textId="77777777" w:rsidR="00A84DBC" w:rsidRDefault="00A84D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EDE90" w14:textId="7B89CE32" w:rsidR="008032CB" w:rsidRDefault="008032CB">
    <w:pPr>
      <w:spacing w:after="160" w:line="276" w:lineRule="aut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34FA9"/>
    <w:multiLevelType w:val="hybridMultilevel"/>
    <w:tmpl w:val="DE947608"/>
    <w:lvl w:ilvl="0" w:tplc="B1AA6ADC">
      <w:start w:val="1"/>
      <w:numFmt w:val="bullet"/>
      <w:lvlText w:val="●"/>
      <w:lvlJc w:val="left"/>
      <w:pPr>
        <w:ind w:left="720" w:hanging="360"/>
      </w:pPr>
    </w:lvl>
    <w:lvl w:ilvl="1" w:tplc="179C0FF8">
      <w:start w:val="1"/>
      <w:numFmt w:val="bullet"/>
      <w:lvlText w:val="○"/>
      <w:lvlJc w:val="left"/>
      <w:pPr>
        <w:ind w:left="1440" w:hanging="360"/>
      </w:pPr>
    </w:lvl>
    <w:lvl w:ilvl="2" w:tplc="E36E8156">
      <w:start w:val="1"/>
      <w:numFmt w:val="bullet"/>
      <w:lvlText w:val="■"/>
      <w:lvlJc w:val="left"/>
      <w:pPr>
        <w:ind w:left="2160" w:hanging="360"/>
      </w:pPr>
    </w:lvl>
    <w:lvl w:ilvl="3" w:tplc="43BCDDF0">
      <w:start w:val="1"/>
      <w:numFmt w:val="bullet"/>
      <w:lvlText w:val="●"/>
      <w:lvlJc w:val="left"/>
      <w:pPr>
        <w:ind w:left="2880" w:hanging="360"/>
      </w:pPr>
    </w:lvl>
    <w:lvl w:ilvl="4" w:tplc="EF96F8E4">
      <w:start w:val="1"/>
      <w:numFmt w:val="bullet"/>
      <w:lvlText w:val="○"/>
      <w:lvlJc w:val="left"/>
      <w:pPr>
        <w:ind w:left="3600" w:hanging="360"/>
      </w:pPr>
    </w:lvl>
    <w:lvl w:ilvl="5" w:tplc="E5F23668">
      <w:start w:val="1"/>
      <w:numFmt w:val="bullet"/>
      <w:lvlText w:val="■"/>
      <w:lvlJc w:val="left"/>
      <w:pPr>
        <w:ind w:left="4320" w:hanging="360"/>
      </w:pPr>
    </w:lvl>
    <w:lvl w:ilvl="6" w:tplc="C5141B00">
      <w:start w:val="1"/>
      <w:numFmt w:val="bullet"/>
      <w:lvlText w:val="●"/>
      <w:lvlJc w:val="left"/>
      <w:pPr>
        <w:ind w:left="5040" w:hanging="360"/>
      </w:pPr>
    </w:lvl>
    <w:lvl w:ilvl="7" w:tplc="24FC5F38">
      <w:start w:val="1"/>
      <w:numFmt w:val="bullet"/>
      <w:lvlText w:val="●"/>
      <w:lvlJc w:val="left"/>
      <w:pPr>
        <w:ind w:left="5760" w:hanging="360"/>
      </w:pPr>
    </w:lvl>
    <w:lvl w:ilvl="8" w:tplc="69767630">
      <w:start w:val="1"/>
      <w:numFmt w:val="bullet"/>
      <w:lvlText w:val="●"/>
      <w:lvlJc w:val="left"/>
      <w:pPr>
        <w:ind w:left="6480" w:hanging="360"/>
      </w:pPr>
    </w:lvl>
  </w:abstractNum>
  <w:num w:numId="1" w16cid:durableId="539654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W0MDA3NbIwMDU3MjVX0lEKTi0uzszPAykwqgUABA6OmiwAAAA="/>
  </w:docVars>
  <w:rsids>
    <w:rsidRoot w:val="008032CB"/>
    <w:rsid w:val="00157B9D"/>
    <w:rsid w:val="00366BCE"/>
    <w:rsid w:val="005A1023"/>
    <w:rsid w:val="005B04EE"/>
    <w:rsid w:val="006421A8"/>
    <w:rsid w:val="0075469A"/>
    <w:rsid w:val="008032CB"/>
    <w:rsid w:val="008770CF"/>
    <w:rsid w:val="008D499C"/>
    <w:rsid w:val="00A84DBC"/>
    <w:rsid w:val="00B815BF"/>
    <w:rsid w:val="00B90EF0"/>
    <w:rsid w:val="00C02183"/>
    <w:rsid w:val="00D86F26"/>
    <w:rsid w:val="00FC14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D44F7"/>
  <w15:docId w15:val="{C7D5B911-FC38-4654-9DEA-03FD767ED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pPr>
      <w:spacing w:after="60"/>
    </w:pPr>
    <w:rPr>
      <w:sz w:val="24"/>
      <w:szCs w:val="24"/>
    </w:rPr>
  </w:style>
  <w:style w:type="paragraph" w:styleId="TOC2">
    <w:name w:val="toc 2"/>
    <w:pPr>
      <w:spacing w:after="40"/>
      <w:ind w:left="360"/>
    </w:pPr>
    <w:rPr>
      <w:sz w:val="22"/>
      <w:szCs w:val="22"/>
    </w:rPr>
  </w:style>
  <w:style w:type="paragraph" w:styleId="Header">
    <w:name w:val="header"/>
    <w:basedOn w:val="Normal"/>
    <w:link w:val="HeaderChar"/>
    <w:uiPriority w:val="99"/>
    <w:unhideWhenUsed/>
    <w:rsid w:val="008D499C"/>
    <w:pPr>
      <w:tabs>
        <w:tab w:val="center" w:pos="4680"/>
        <w:tab w:val="right" w:pos="9360"/>
      </w:tabs>
    </w:pPr>
  </w:style>
  <w:style w:type="character" w:customStyle="1" w:styleId="HeaderChar">
    <w:name w:val="Header Char"/>
    <w:basedOn w:val="DefaultParagraphFont"/>
    <w:link w:val="Header"/>
    <w:uiPriority w:val="99"/>
    <w:rsid w:val="008D499C"/>
  </w:style>
  <w:style w:type="paragraph" w:styleId="Footer">
    <w:name w:val="footer"/>
    <w:basedOn w:val="Normal"/>
    <w:link w:val="FooterChar"/>
    <w:uiPriority w:val="99"/>
    <w:unhideWhenUsed/>
    <w:rsid w:val="008D499C"/>
    <w:pPr>
      <w:tabs>
        <w:tab w:val="center" w:pos="4680"/>
        <w:tab w:val="right" w:pos="9360"/>
      </w:tabs>
    </w:pPr>
  </w:style>
  <w:style w:type="character" w:customStyle="1" w:styleId="FooterChar">
    <w:name w:val="Footer Char"/>
    <w:basedOn w:val="DefaultParagraphFont"/>
    <w:link w:val="Footer"/>
    <w:uiPriority w:val="99"/>
    <w:rsid w:val="008D499C"/>
  </w:style>
  <w:style w:type="paragraph" w:customStyle="1" w:styleId="my-2">
    <w:name w:val="my-2"/>
    <w:basedOn w:val="Normal"/>
    <w:rsid w:val="00B815BF"/>
    <w:pPr>
      <w:spacing w:before="100" w:beforeAutospacing="1" w:after="100" w:afterAutospacing="1"/>
    </w:pPr>
    <w:rPr>
      <w:sz w:val="24"/>
      <w:szCs w:val="24"/>
    </w:rPr>
  </w:style>
  <w:style w:type="character" w:styleId="Emphasis">
    <w:name w:val="Emphasis"/>
    <w:basedOn w:val="DefaultParagraphFont"/>
    <w:uiPriority w:val="20"/>
    <w:qFormat/>
    <w:rsid w:val="00B815BF"/>
    <w:rPr>
      <w:i/>
      <w:iCs/>
    </w:rPr>
  </w:style>
  <w:style w:type="character" w:customStyle="1" w:styleId="inline-flex">
    <w:name w:val="inline-flex"/>
    <w:basedOn w:val="DefaultParagraphFont"/>
    <w:rsid w:val="00B815BF"/>
  </w:style>
  <w:style w:type="character" w:customStyle="1" w:styleId="text-box-trim-both">
    <w:name w:val="text-box-trim-both"/>
    <w:basedOn w:val="DefaultParagraphFont"/>
    <w:rsid w:val="00B815BF"/>
  </w:style>
  <w:style w:type="table" w:styleId="PlainTable2">
    <w:name w:val="Plain Table 2"/>
    <w:basedOn w:val="TableNormal"/>
    <w:uiPriority w:val="42"/>
    <w:rsid w:val="00D86F2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D86F2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C021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news-room/fact-sheets/detail/endometriosis" TargetMode="External"/><Relationship Id="rId3" Type="http://schemas.openxmlformats.org/officeDocument/2006/relationships/settings" Target="settings.xml"/><Relationship Id="rId7" Type="http://schemas.openxmlformats.org/officeDocument/2006/relationships/hyperlink" Target="https://github.com/omygene/endometriosis-cross-cohort-transcriptomic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21</Pages>
  <Words>10305</Words>
  <Characters>58740</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mahmoud.elatrouny@fagr.bu.edu.eg</cp:lastModifiedBy>
  <cp:revision>6</cp:revision>
  <dcterms:created xsi:type="dcterms:W3CDTF">2026-09-17T22:57:00Z</dcterms:created>
  <dcterms:modified xsi:type="dcterms:W3CDTF">2026-09-30T22:18:00Z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fe61c350-198c-4ae2-a6f0-589f5dc8d32c</vt:lpwstr>
  </property>
</Properties>
</file>