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Performance indicators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Expected Total Community Contribution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Actual Community Contribution to date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local goats acquired using Project funds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local goats acquired using Proceeds &amp; other contributions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Total Number of kids realised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Total number of direct beneficiaries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male beneficiaries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female beneficiaries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goats sold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Monthly average income earned by the group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Monthly Average income earned per beneficiary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I</w:t>
      </w:r>
      <w:r w:rsidRPr="00000000" w:rsidR="00000000" w:rsidDel="00000000">
        <w:rPr>
          <w:b w:val="1"/>
          <w:highlight w:val="white"/>
          <w:rtl w:val="0"/>
        </w:rPr>
        <w:t xml:space="preserve">mpact Level Indicators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increased income earned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improved houses out of proceeds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increased household assets acquired through proceeds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children in schools and other learning institutions supported by proceeds from project earnings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900"/>
      </w:tblGrid>
    </w:tbl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Dairy Goat Project Indicators.docx</dc:title>
</cp:coreProperties>
</file>