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b w:val="1"/>
          <w:rtl w:val="0"/>
        </w:rPr>
        <w:t xml:space="preserve">Performance Indicators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Expected Total Community Contribution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Actual Community Contribution to date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Quantity of planting materials acquired using project funds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Quantity of planting materials acquired through other proceeds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Total acreage under the crop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Acreage under the crop per beneficiary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Total number of direct beneficiaries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male beneficiaries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female  beneficiaries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vulnerable beneficiaries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Yield of the crop per acre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Monthly average income earned by the group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Monthly Average income earned per beneficiary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I</w:t>
      </w:r>
      <w:r w:rsidRPr="00000000" w:rsidR="00000000" w:rsidDel="00000000">
        <w:rPr>
          <w:b w:val="1"/>
          <w:highlight w:val="white"/>
          <w:rtl w:val="0"/>
        </w:rPr>
        <w:t xml:space="preserve">mpact Level Indicators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increased income earned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improved houses out of proceeds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beneficiaries with increased household assets acquired through proceeds from the project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  <w:t xml:space="preserve">Number of children in schools and other learning institutions supported by proceeds from project earnings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9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900"/>
      </w:tblGrid>
    </w:tbl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Field/ Industrial Crop Project .docx</dc:title>
</cp:coreProperties>
</file>