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Merged Complete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pStyle w:val="Normal"/>
        <w:rPr/>
      </w:pPr>
      <w:r>
        <w:t>This document defines the current TLO inventory requirements for search paths, accessibility, startup validation, logging, cleanup, CLI behavior, GUI behavior, metadata extraction, aggregation, and appendices. Current document version: v319 (v1.0 Build 319).</w:t>
      </w:r>
    </w:p>
    <w:p>
      <w:pPr>
        <w:pStyle w:val="Normal"/>
        <w:rPr/>
      </w:pPr>
      <w:r>
        <w:rPr/>
        <w:t>Document organization: Sections 1-15 and Appendices A-I are the authoritative current requirements. Superseded build-by-build notes are maintained in old-change-logs.zip and are not repeated in this specification.</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rPr/>
        <w:t>When more than one accessible search path is queued, scheduling is based on the resolved visible volume label, not on whether the user typed a bracketed prefix. Every path whose resolved visible volume label is blank must be searched serially,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a global Tag Copy/Delete Original -- Destination Path override is filled.</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rPr/>
        <w:t>When multiple accessible search paths exist, use the performance-controlled worker count for volume work groups. All blank-volume paths form one serial work group, sorted by drive letter or WSL /mnt/&lt;drive&gt; letter. Each distinct nonblank visible volume label forms another work group, and roots sharing that label run serially inside the same worker. When more than one worker is available, the blank-volume serial group and the named-volume groups may run concurrently. Parallel workers are used only when the effective worker count and total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v1.0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rPr/>
        <w:t>Fast mode uses maximum-throughput behavior: available workers up to the platform CPU count and, at runtime, up to the number of accessible search paths;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rPr/>
        <w:t>The effective runtime worker count is capped at the number of accessible search paths. When a positive --max-workers value is supplied, it additionally caps the selected performance-mode/platform default. When --max-workers is 0 or omitted on the CLI, the selected performance-mode/platform default is used and still capped by the number of accessible search paths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 original inventory folders. This includes toBeInventoried.txt --$copy and --$copy-delete directives, command-line --$copy and --$copy-delete directives for a single --search-path, Tag Copy destinations, and a filled Tag Copy/Delete Original -- Destination Path.</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rPr/>
        <w:t>A filled Tag Copy/Delete Original -- Destination Path is a global override. When it is present, it overrides all per-path --$copy and --$copy-delete destinations. If no Search Path override is filled, the preflight must compare that one destination against the sum of all accessible roots loaded from toBeInventoried.txt.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include a separate end-user distribution ZIP in addition to the source bundle and separately delivered current requirements DOCX.</w:t>
      </w:r>
    </w:p>
    <w:p>
      <w:pPr>
        <w:pStyle w:val="ListBullet"/>
        <w:numPr>
          <w:ilvl w:val="0"/>
          <w:numId w:val="1"/>
        </w:numPr>
        <w:rPr/>
      </w:pPr>
      <w:r>
        <w:rPr/>
        <w:t>The distribution version string and filename must use V1.0BuildXXX, where XXX is supplied to the build process as an input argument. For source bundle v315, the final end-user distribution filename uses TLO_V1.0Build315.zip.</w:t>
      </w:r>
    </w:p>
    <w:p>
      <w:pPr>
        <w:pStyle w:val="ListBullet"/>
        <w:numPr>
          <w:ilvl w:val="0"/>
          <w:numId w:val="1"/>
        </w:numPr>
        <w:rPr/>
      </w:pPr>
      <w:r>
        <w:rPr/>
        <w:t>The distribution ZIP must contain native, self-contained application builds for Windows, macOS, and generic Linux under apps/Windows, apps/macOS, and apps/Linux respectively. There is no separate apps/WSL directory; WSL uses the generic Linux applications from apps/Linux.</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 must be completed before final ZIP assembly. The ZIP assembler must reject missing platform folders or missing required applications.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the staged package. The distribution ZIP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The ZIP filename is versioned, but the ZIP contents must not be wrapped in a versioned top-level folder. Users extract the contents directly into the chosen TLOHome.</w:t>
      </w:r>
    </w:p>
    <w:p>
      <w:pPr>
        <w:pStyle w:val="ListBullet"/>
        <w:numPr>
          <w:ilvl w:val="0"/>
          <w:numId w:val="1"/>
        </w:numPr>
        <w:rPr/>
      </w:pPr>
      <w:r>
        <w:rPr/>
        <w:t>The distribution must include TLOHome/TLO_DBs as an empty placeholder with an explanatory README only. artists.sqlite, venues.txt, and other database/support contents are populated separately and must not be copied into the distribution ZIP.</w:t>
      </w:r>
    </w:p>
    <w:p>
      <w:pPr>
        <w:pStyle w:val="ListBullet"/>
        <w:numPr>
          <w:ilvl w:val="0"/>
          <w:numId w:val="1"/>
        </w:numPr>
        <w:rPr/>
      </w:pPr>
      <w:r>
        <w:rPr/>
        <w:t>The end-user distribution ZIP must include the current RTF user manual, a starter toBeInventoried.txt, a manifest, checksums, and the clean scan receipts. The requirements document must not be included in the end-user distribution ZIP; it remains in the source bundle and is provided separately.</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rPr/>
        <w:t>Search each path component for String1 Date String2 after stripping parenthetical items from the end and trailing whitespace.</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rPr/>
        <w:t>Save all parentheticals as a single string in the metadata field PARENTHETICALS, separated by a single space and preserved in their original order.</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rPr/>
        <w:t>Compliant mode applies when --compliant is set.</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Compliant Artist Mode controls artist handling. Master mode checks String1 against the Artist DB and uses the DB master name when matched. As-Is mode uses String1 directly as the artist and performs no Artist DB lookup.</w:t>
      </w:r>
    </w:p>
    <w:p>
      <w:pPr>
        <w:pStyle w:val="ListBullet"/>
        <w:numPr>
          <w:ilvl w:val="0"/>
          <w:numId w:val="1"/>
        </w:numPr>
        <w:rPr/>
      </w:pPr>
      <w:r>
        <w:rPr/>
        <w:t>If Master mode does not find a single DB master, use String1 as the artist and record the miss or collision as an observation rather than an unresolved reason.</w:t>
      </w:r>
    </w:p>
    <w:p>
      <w:pPr>
        <w:pStyle w:val="ListBullet"/>
        <w:numPr>
          <w:ilvl w:val="0"/>
          <w:numId w:val="1"/>
        </w:numPr>
        <w:rPr/>
      </w:pPr>
      <w:r>
        <w:rPr/>
        <w:t>The CLI prompts for Master or As-Is in interactive compliant runs unless --compliant-artist-mode master|as-is is supplied. The GUI prompts when starting a compliant full inventory or compliant Add Shows run unless launched with --compliant-artist-mode.</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same Compliant Artist Mode selected for the run. In Master mode, normalize String1 for Artist DB lookup and use the DB master name when matched. In As-Is mode, use String1 directly with no lookup.</w:t>
      </w:r>
    </w:p>
    <w:p>
      <w:pPr>
        <w:pStyle w:val="ListBullet"/>
        <w:numPr>
          <w:ilvl w:val="0"/>
          <w:numId w:val="1"/>
        </w:numPr>
        <w:rPr/>
      </w:pPr>
      <w:r>
        <w:rPr/>
        <w:t>For String1 - String2, no Date is assigned and String2 remains the album/show tail. Artist handling still follows the selected Master or As-Is compliant artist mode.</w:t>
      </w:r>
    </w:p>
    <w:p>
      <w:pPr>
        <w:pStyle w:val="ListBullet"/>
        <w:numPr>
          <w:ilvl w:val="0"/>
          <w:numId w:val="1"/>
        </w:numPr>
        <w:rPr/>
      </w:pPr>
      <w:r>
        <w:rPr/>
        <w:t>If Master mode does not find a single DB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same Compliant Artist Mode selected for the run. Master mode checks String1 against the Artist DB and uses the master name when matched; As-Is mode uses String1 directly with no lookup. In Master mode,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In compliant mode, the user chooses Master or As-Is artist handling at the start of a compliant inventory run. The CLI also accepts --compliant-artist-mode master|as-is.</w:t>
      </w:r>
    </w:p>
    <w:p>
      <w:pPr>
        <w:pStyle w:val="ListBullet"/>
        <w:numPr>
          <w:ilvl w:val="0"/>
          <w:numId w:val="1"/>
        </w:numPr>
        <w:rPr/>
      </w:pPr>
      <w:r>
        <w:rPr/>
        <w:t>Master mode checks String1 against the Artist DB. If exactly one master is found, use the master name. If no master or multiple masters are found, use String1 as Artist and record an observation.</w:t>
      </w:r>
    </w:p>
    <w:p>
      <w:pPr>
        <w:pStyle w:val="ListBullet"/>
        <w:numPr>
          <w:ilvl w:val="0"/>
          <w:numId w:val="1"/>
        </w:numPr>
        <w:rPr/>
      </w:pPr>
      <w:r>
        <w:rPr/>
        <w:t>As-Is mode uses String1 as Artist directly for String1 Date String2, String1 - String2, and String1 Date, without Artist DB lookup.</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If no valid Date exists, do not call setlist.fm.</w:t>
      </w:r>
    </w:p>
    <w:p>
      <w:pPr>
        <w:pStyle w:val="ListBullet"/>
        <w:numPr>
          <w:ilvl w:val="0"/>
          <w:numId w:val="1"/>
        </w:numPr>
        <w:rPr/>
      </w:pPr>
      <w:r>
        <w:rPr/>
        <w:t>The setlist.fm API key is read from the SETLISTFM_API_KEY environment variable. If the key is missing or the request fails, record an observation and keep the existing metadata result.</w:t>
      </w:r>
    </w:p>
    <w:p>
      <w:pPr>
        <w:pStyle w:val="ListBullet"/>
        <w:numPr>
          <w:ilvl w:val="0"/>
          <w:numId w:val="1"/>
        </w:numPr>
        <w:rPr/>
      </w:pPr>
      <w:r>
        <w:rPr/>
        <w:t>setlist.fm rate limiting and the per-run call cap are defined in Appendix I and apply across local inventory worker processes. The cross-process shared rate-limit state must store a wall-clock timestamp, not a process-local monotonic timestamp.</w:t>
      </w:r>
    </w:p>
    <w:p>
      <w:pPr>
        <w:pStyle w:val="ListBullet"/>
        <w:numPr>
          <w:ilvl w:val="0"/>
          <w:numId w:val="1"/>
        </w:numPr>
        <w:rPr/>
      </w:pPr>
      <w:r>
        <w:rPr/>
        <w:t>The setlist.fm request must search by artist and date. The yyyy-mm-dd date supplied by TLO must be converted to the setlist.fm API date form dd-MM-yyyy.</w:t>
      </w:r>
    </w:p>
    <w:p>
      <w:pPr>
        <w:pStyle w:val="ListBullet"/>
        <w:numPr>
          <w:ilvl w:val="0"/>
          <w:numId w:val="1"/>
        </w:numPr>
        <w:rPr/>
      </w:pPr>
      <w:r>
        <w:rPr/>
        <w:t>If setlist.fm returns a usable result and the country is the United States or any recognized U.S. alternate such as US, USA, U.S.A., United States, or United States of America, set or fill the show-name location as Artist Date Venue City StateCode, except that explicit labeled setlist venue/location fields must not be overwritten.</w:t>
      </w:r>
    </w:p>
    <w:p>
      <w:pPr>
        <w:pStyle w:val="ListBullet"/>
        <w:numPr>
          <w:ilvl w:val="0"/>
          <w:numId w:val="1"/>
        </w:numPr>
        <w:rPr/>
      </w:pPr>
      <w:r>
        <w:rPr/>
        <w:t>If setlist.fm returns a usable result and the country is not the United States or a recognized U.S. alternate, set or fill the show-name location as Artist Date Venue City Country, except that explicit labeled setlist venue/location fields must not be overwritten.</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ListBullet"/>
        <w:numPr>
          <w:ilvl w:val="0"/>
          <w:numId w:val="1"/>
        </w:numPr>
        <w:rPr/>
      </w:pPr>
      <w:r>
        <w:rPr/>
        <w:t>If multiple setlist.fm results are returned, prefer exact normalized artist-name matches. If multiple exact matches remain, use the first result returned by setlist.fm and record an observation. If the same setlist.fm API response already includes setlist/song rows, cache those rows as setlist-title candidates for tagging. Do not perform an additional setlist.fm request solely to retrieve track titles or setlist text.</w:t>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rPr/>
        <w:t>If a show name is established, append a space and PARENTHETICALS to the end of the show name, preserving multiple parentheticals in their original order.</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rPr/>
        <w:t>--max-workers N is valid with N &gt;= 0. A value of 0 uses the selected performance-mode default; the effective worker count is capped by the number of accessible search paths.</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rPr/>
        <w:t>--rename-compliantly is valid independently of tagging. By itself during full inventory it renames identified original folders in place without writing audio tags; with a tag/copy mode it applies the compliant name to the corresponding source or destination.</w:t>
      </w:r>
    </w:p>
    <w:p>
      <w:pPr>
        <w:pStyle w:val="ListBullet"/>
        <w:numPr>
          <w:ilvl w:val="0"/>
          <w:numId w:val="1"/>
        </w:numPr>
        <w:rPr/>
      </w:pPr>
      <w:r>
        <w:rPr/>
        <w:t>--convert-shn is valid with no value and defaults to false. When supplied, any .shn or .shnf files encountered during Tag, Tag in Place During Inventory, or Tag Copy During Inventory are converted to .flac before track-title selection and tag writing.</w:t>
      </w:r>
    </w:p>
    <w:p>
      <w:pPr>
        <w:pStyle w:val="ListBullet"/>
        <w:numPr>
          <w:ilvl w:val="0"/>
          <w:numId w:val="1"/>
        </w:numPr>
        <w:rPr/>
      </w:pPr>
      <w:r>
        <w:rPr/>
        <w:t>--compliant-artist-mode master|as-is controls compliant String1 artist handling. master checks String1 against the artist database; as-is uses String1 directly.</w:t>
      </w:r>
    </w:p>
    <w:p>
      <w:pPr>
        <w:pStyle w:val="Normal"/>
        <w:rPr/>
      </w:pPr>
      <w:r>
        <w:rPr/>
        <w:t>--debug [BOOL] (optional command-line-only GUI flag; enables debug output without changing the concise startup banner)</w:t>
        <w:br/>
        <w:t>--silent</w:t>
        <w:br/>
        <w:t>--TLOHome DIR</w:t>
        <w:br/>
        <w:t>--search-path STRING</w:t>
        <w:br/>
        <w:t>--compliant</w:t>
        <w:br/>
        <w:t>--compliant-artist-mode master|as-is</w:t>
        <w:br/>
        <w:t>--tag-during-inventory</w:t>
        <w:br/>
        <w:t>--tag-copy-during-inventory</w:t>
        <w:br/>
        <w:t>--tag-copy-destination DIR</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their shared options from the registry rather than maintaining independent hand-written copies. TLOHome, myTLO, --debug [BOOL], -$slam, and tagPath remain explicit carve-outs with their existing flags and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pPr>
        <w:pStyle w:val="Normal"/>
        <w:rPr/>
      </w:pPr>
      <w:r>
        <w:rPr/>
        <w:t>Lookup dependency requirement: setlist.fm requiring eTreeDB must be enforced by one shared function. In strict command-line/startup mode, setlist.fm without eTreeDB is an error. In GUI checkbox-auto mode, selecting setlist.fm enables eTreeDB.</w:t>
      </w:r>
    </w:p>
    <w:p>
      <w:pPr>
        <w:pStyle w:val="Normal"/>
        <w:rPr/>
      </w:pPr>
      <w:r>
        <w:rPr/>
        <w:t>Max Workers supplied-detection requirement: use argparse.SUPPRESS or an equivalent parser sentinel to detect whether --max-workers was supplied; do not scan raw argv strings for --max-workers.</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accept --TLOHome STRING, --myTLO STRING, --compliant, --tag-path STRING, and an optional positional tagPath string. If both --tag-path and positional tagPath are supplied with different non-empty values, report a readable error and exit.</w:t>
      </w:r>
    </w:p>
    <w:p>
      <w:pPr>
        <w:pStyle w:val="Normal"/>
        <w:rPr/>
      </w:pPr>
      <w:r>
        <w:rPr/>
        <w:t>TLOHome resolution for tlo-tag.py must use the same precedence as the rest of TLO: --myTLO, then --TLOHome, then the TLOHome environment variable.</w:t>
      </w:r>
    </w:p>
    <w:p>
      <w:pPr>
        <w:pStyle w:val="Normal"/>
        <w:rPr/>
      </w:pPr>
      <w:r>
        <w:rPr/>
        <w:t>When tagPath is blank, the tagger must use TLOHome/readyForXfer, or myTLO/readyForXfer when --myTLO wins TLOHome resolution.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Tag During Inventory and to the standalone/GUI Tagger. The normal TrackNo/Track Number tag remains written; only total-track and disc-position/count metadata is removed.</w:t>
      </w:r>
    </w:p>
    <w:p>
      <w:pPr>
        <w:pStyle w:val="Normal"/>
        <w:rPr/>
      </w:pPr>
      <w:r>
        <w:rPr/>
        <w:t>When Convert shn / --convert-shn is enabled, the tagging path must convert SHN/SHNF files to FLAC before choosing final track titles and before writing tags. Conversion must use the application-bundled native converter included with the PyInstaller build. Successful conversions replace the audio path used for tagging with the new FLAC path and delete the original SHN/SHNF file. Failed conversions must be logged as tag errors and the failed SHN/SHNF file must be left in place.</w:t>
      </w:r>
    </w:p>
    <w:p>
      <w:pPr>
        <w:pStyle w:val="Normal"/>
        <w:rPr/>
      </w:pPr>
      <w:r>
        <w:rPr/>
      </w:r>
    </w:p>
    <w:p>
      <w:pPr>
        <w:pStyle w:val="Normal"/>
        <w:rPr/>
      </w:pPr>
      <w:r>
        <w:rPr/>
        <w:t>For each successfully matched audio file, write Artist, Album, normalized Track Number, and Title tags. Artist comes from the resolved Artist. When a selected setlist exists and its parsed track count matches the audio-file count, Title comes from the associated setlist track title. If an apparent count mismatch is caused by obvious trailing note/prose text after a complete contiguous track list, ignore the trailing prose and use the setlist titles. If no numbered parseable setlist titles are available, unnumbered CD/Disc/Disk/Set song-list sections and unnumbered comma-separated setlist fallback may supply Titles when their count matches. If local setlist titles still cannot be used and etreeDB is enabled, eTreeDB may supply Titles when Artist plus yyyy-mm-dd Date are known and the returned title count matches. If Titles still cannot be found or the setlist title count does not match the number of files, Tag During Inventory and the standalone/GUI Tagger may use existing audio Title tags according to the last-resort rules in Section 13.1. Empty or generic title tags are written as Unknown only when this fallback is accepted; standalone/GUI tagging requires at least one usable existing Title tag before using this source for a setlist parse/count problem. Track Number is written as a zero-padded string: 01, 02, 03, ... when the folder has 99 or fewer music files, and 001, 002, 003, ... when the folder has more than 99 music files. Before writing Title tags, strip list-position prefixes such as "4 of 28" and setlist row prefixes such as "t01 -", "trk01:", and "track01 -" so only the real song title is written. Before writing any song Title tag, normalize the final title to regular printable characters: replace common smart punctuation, Unicode dash variants, no-break spaces, and ellipses with ordinary printable equivalents, and remove embedded control, zero-width, replacement, private-use, or otherwise non-printable characters. Numbered setlist rows must also accept set/CD-prefixed numeric rows such as 101, 102, and 201, where the leading digit identifies the CD or set and the last two digits identify the track; these rows are normalized to sequential Track Number tags.</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rPr/>
        <w:t>When the GUI Tag Copy/Delete Original -- Destination Path field is filled for a full inventory run, it overrides per-path --$copy and --$copy-delete destinations from toBeInventoried.txt. If the Search Path field is empty, the GUI must preflight the destination against the combined size of all accessible toBeInventoried.txt roots and show an alert if the destination lacks enough space.</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be checked automatically.</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rPr/>
        <w:t>The visible main-GUI checkboxes must be laid out in a three-column grid: etreeDB on the left with setlist.fm below it; Compliant in the middle with Convert shn directly below it in the former Silent checkbox position; and Tag in Place, Tag Copy, and Rename Compliantly vertically aligned in the right column. Silent must not be a visible GUI checkbox. The --silent command-line argument must remain supported for command-line/startup use. The Debug checkbox must not be visible in the GUI; debug is command-line only for tlo-ggi.py.</w:t>
      </w:r>
    </w:p>
    <w:p>
      <w:pPr>
        <w:pStyle w:val="ListBullet"/>
        <w:numPr>
          <w:ilvl w:val="0"/>
          <w:numId w:val="1"/>
        </w:numPr>
        <w:rPr/>
      </w:pPr>
      <w:r>
        <w:rPr/>
        <w:t>When tlo-ggi.py or tlo-ggi.exe is launched from the command line with --etree-lookup and/or --setlistfm-lookup, the corresponding GUI checkboxes (etreeDB and/or setlist.fm) must be reflected when the window opens. Command-line --setlistfm-lookup without --etree-lookup is a startup error. Interactive GUI checkbox behavior remains associated: checking setlist.fm checks etreeDB, and etreeDB remains checked whenever setlist.fm remains checked. The --debug command-line argument remains accepted, enables debug output when true, does not alter the concise startup banner, and must not appear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rPr/>
        <w:t>Populate the TLOHome input box from the environment variable when it exists.</w:t>
      </w:r>
    </w:p>
    <w:p>
      <w:pPr>
        <w:pStyle w:val="ListBullet"/>
        <w:numPr>
          <w:ilvl w:val="0"/>
          <w:numId w:val="1"/>
        </w:numPr>
        <w:rPr/>
      </w:pPr>
      <w:r>
        <w:rPr/>
        <w:t>Include myTLO support with the same precedence as CLI. It may remain undocumented in help if desired, but the GUI version must support it.</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rPr/>
        <w:t>Include Tag, Add Shows (incremental), Quit, Inventory (full), Pause, and Resume buttons in the main button row. Tag must display at the far left. Add Shows (incremental) and Inventory (full) must each display as centered two-line labels.</w:t>
      </w:r>
    </w:p>
    <w:p>
      <w:pPr>
        <w:pStyle w:val="ListBullet"/>
        <w:numPr>
          <w:ilvl w:val="0"/>
          <w:numId w:val="1"/>
        </w:numPr>
        <w:rPr/>
      </w:pPr>
      <w:r>
        <w:rP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rP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bootlist output, and must ask the user to continue or cancel before processing new shows as the first inventory output.</w:t>
      </w:r>
    </w:p>
    <w:p>
      <w:pPr>
        <w:pStyle w:val="ListBullet"/>
        <w:numPr>
          <w:ilvl w:val="0"/>
          <w:numId w:val="1"/>
        </w:numPr>
        <w:rPr/>
      </w:pPr>
      <w:r>
        <w:rPr/>
        <w:t>The main GUI must include vertically aligned checkboxes labeled Tag in Place, Tag Copy, and Rename Compliantly. Tag in Place and Tag Copy are mutually exclusive. Rename Compliantly is independent of tagging. In Full Inventory, when Rename Compliantly is checked and Tag in Place, Tag Copy, and Tag Copy/Delete Original -- Destination Path are all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compliant name; and when combined with Tag Copy/Delete Original, the transferred destination uses the compliant name. These main-window values apply to Full Inventory and GUI Tag runs. Add Shows inherits only Compliant and Rename Compliantly and ignores Tag in Place and Tag Copy. The Add Shows window must use the bold in-window heading Traders Little Helper™ Inventory Update App.</w:t>
      </w:r>
    </w:p>
    <w:p>
      <w:pPr>
        <w:pStyle w:val="ListBullet"/>
        <w:numPr>
          <w:ilvl w:val="0"/>
          <w:numId w:val="1"/>
        </w:numPr>
        <w:rPr/>
      </w:pPr>
      <w:r>
        <w:rPr/>
        <w:t>The main GUI must include a Convert shn checkbox. The checkbox maps to --convert-shn and applies to Tag, Tag in Place During Inventory, Tag Copy During Inventory, and Tag Copy/Delete Original During Inventory.</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Place the visible checkboxes in the required three-column grid with consistent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v1.0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rPr/>
        <w:t>Rename Compliantly must not require Tag in Place, Tag Copy, or Tag Copy/Delete Original. For Full Inventory, Rename Compliantly by itself means rename the identified original folder in place without tagging. The GUI and CLI must accept this combination without an alert or validation error. For a GUI/standalone Tag run, the Tag action still writes tags; when no copy mode is selected, the Tag workflow operates in place and may rename the folder compliantly before tagging.</w:t>
      </w:r>
    </w:p>
    <w:p>
      <w:pPr>
        <w:pStyle w:val="Normal"/>
        <w:rPr/>
      </w:pPr>
      <w:r>
        <w:rPr/>
        <w:t>The Tagger window must include a console subwindow that receives the same concise folder/file messages written by the standalone CLI tagger. The Tagger window must not include its own Tag in Place, Tag Copy, or Rename Compliantly checkboxes; those settings are controlled only from the main GUI window.</w:t>
      </w:r>
    </w:p>
    <w:p>
      <w:pPr>
        <w:pStyle w:val="Normal"/>
        <w:rPr/>
      </w:pPr>
      <w:r>
        <w:rPr/>
        <w:t>The Tagger window must include a text input labeled Tagging Path: pre-populated with TLOHome/readyForXfer, myTLO/readyForXfer when myTLO wins TLOHome resolution, or tagPath when tagPath is non-empty.</w:t>
      </w:r>
    </w:p>
    <w:p>
      <w:pPr>
        <w:pStyle w:val="Normal"/>
        <w:rPr/>
      </w:pPr>
      <w:r>
        <w:rPr/>
        <w:t>Clicking the main Tag button must open a new window whose title bar reads TLO Tagger GUI v1.0 Build XX. Inside the window, the only application heading must be the bold text Traders Little Helper™ Tagger App. Do not add a second in-window version heading. A summary line below the heading must show the inherited Tag mode, Rename Compliantly state, Convert shn state, Compliant state, and etreeDB state.</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rPr/>
      </w:pPr>
      <w:r>
        <w:rPr/>
        <w:t>14.1 Tagger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The future user guide must warn that OS-specific path aliases, symlinks, junctions, mount aliases, and case-sensitive/case-insensitive equivalents may not all be detected as overlapping roots and may produce duplicate inventory entries.</w:t>
      </w:r>
    </w:p>
    <w:p>
      <w:pPr>
        <w:pStyle w:val="ListBullet"/>
        <w:numPr>
          <w:ilvl w:val="0"/>
          <w:numId w:val="1"/>
        </w:numPr>
        <w:rPr/>
      </w:pPr>
      <w:r>
        <w:rPr/>
        <w:t>The TLO Search app is a separate delivery and is outside the source/implementation scope of this inventory bundle. User documentation may describe its workflow only when it is clearly labeled as separately installed.</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The implementation rejects obvious duplicate and nested roots. The user guide must warn that symlinks, junctions, mount aliases, and case-sensitive/case-insensitive equivalents can still cause duplicate inventory entries if supplied as separate roots.</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Quit behavior is specified in Section 14: before inventory starts, during active inventory scanning/worker execution, and after inventory scanning has completed. During active scanning, GUI Quit must terminate the active worker pool before deleting active tokenized logs and must exit the process so Windows child workers cannot continue writing after the GUI closes.</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pPr>
        <w:pStyle w:val="Heading3"/>
        <w:rPr/>
      </w:pPr>
      <w:r>
        <w:rPr/>
        <w:t>Setlist line filters</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rPr/>
        <w:t>--debug [BOOL], --silent, --TLOHome DIR, --myTLO STRING (undocumented; see Section 2.3), --search-path STRING, --compliant, --compliant-artist-mode master|as-is,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tagPath is not an inventory CLI argument; --tag-path is tagger-scoped for the tlo-ggi.py Tag launcher and tlo-tag.py only. The standalone tlo-tag.py command also accepts --etree-lookup to enable eTreeDB song-title fallback during tagging.</w:t>
      </w:r>
    </w:p>
    <w:p>
      <w:pPr>
        <w:pStyle w:val="Heading3"/>
        <w:rPr/>
      </w:pPr>
      <w:r>
        <w:rPr/>
        <w:t>GUI fields and visible checkboxes/buttons include TLOHome, Search Path, Slam, Performance Mode, Max Workers, etreeDB, setlist.fm, Compliant, Convert shn, Tag in Place, Tag Copy, Rename Compliantly, Add Shows (incremental), Quit, Inventory (full), Pause, Resume, and Tag. Silent remains command-line only through --silent.</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pStyle w:val="Normal"/>
        <w:rPr/>
      </w:pPr>
      <w:r>
        <w:rPr/>
        <w:t>TLOHome, Search Path, Slam, Performance Mode, Max Workers, etreeDB, Compliant, Convert shn, Tag in Place, Tag Copy, Rename Compliantly, setlist.fm,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rPr/>
        <w:t>Integer N &gt;= 0. In CLI parsing, zero means use the selected performance-mode/platform default. In the GUI, omitted or zero --max-workers opens as the computed default value rather than showing 0, except extreme mode opens as 0 to mean its uncapped default. Effective runtime workers are capped by the number of accessible search paths; extreme imposes no additional performance-mode worker cap.</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Normal"/>
        <w:rPr/>
      </w:pPr>
      <w:r>
        <w:rPr/>
        <w:t>Required API key: SETLISTFM_API_KEY environment variable.</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w:t>
      </w:r>
    </w:p>
    <w:p>
      <w:pPr>
        <w:pStyle w:val="ListBullet"/>
        <w:numPr>
          <w:ilvl w:val="0"/>
          <w:numId w:val="1"/>
        </w:numPr>
        <w:rPr/>
      </w:pPr>
      <w:r>
        <w:rPr/>
        <w:t>setlist.fm requests must also be capped at 1,400 calls per inventory run. The cap applies across local inventory worker processes for the same run.</w:t>
      </w:r>
    </w:p>
    <w:p>
      <w:pPr>
        <w:pStyle w:val="Normal"/>
        <w:rPr/>
      </w:pPr>
      <w:r>
        <w:t>v314 update: The main Inventory GUI includes About and FAQ choices. About displays the TLO name, current V1.0Build number, developer attribution, tool attribution, and contact text. FAQ opens TLOHome/TLO-FAQ.txt, and TLO-FAQ.txt is included in the source bundle and distribution package.</w:t>
      </w:r>
    </w:p>
    <w:p>
      <w:pPr>
        <w:pStyle w:val="Normal"/>
        <w:widowControl/>
        <w:bidi w:val="0"/>
        <w:spacing w:lineRule="auto" w:line="276" w:before="0" w:after="200"/>
        <w:jc w:val="left"/>
        <w:rPr/>
      </w:pPr>
      <w:r>
        <w:rPr/>
        <w:t>v315 update: TLO-FAQ.txt now includes entries describing TLOHome setup, user-controlled destructive actions, and re-inventory behavior for named and unnamed volumes.</w:t>
      </w:r>
    </w:p>
    <w:p>
      <w:r>
        <w:t>v316 update: The main Inventory GUI replaces the lower-row Help button with an upper-right hamburger menu. The hamburger menu expands to a Help cascade with a chevron/arrow indicator; Help then expands to About and FAQ choices. About and FAQ behavior remains unchanged.</w:t>
      </w:r>
    </w:p>
    <w:p>
      <w:r>
        <w:t>v317 update: The upper-right hamburger Help cascade now binds About and FAQ through explicit menu-action wrappers so the selected menu item opens the same About and FAQ windows that worked under the former Help button.</w:t>
      </w:r>
    </w:p>
    <w:p>
      <w:r>
        <w:t>v318 update: TLOHome/CorruptFlacs.txt is created for tagging runs and receives the complete path of each FLAC file that cannot be opened or written during tagging. TLO Search (tlo-gsi.py) now accepts hidden --myTLO with the same precedence as the other TLO entry points: --myTLO, then --TLOHome, then the TLOHome environment variable.</w:t>
      </w:r>
    </w:p>
    <w:p>
      <w:r>
        <w:t>v319 update: Cleanup hardening adds a runtime_control terminate_all_children() backstop before forced GUI exits and in CLI Ctrl-C handling so ProcessPoolExecutor workers and multiprocessing.Manager server processes are not orphaned. CLI interruption cleans newly allocated log tokens, SHN-to-FLAC conversion now uses a bounded ffmpeg timeout, and setlist date-fallback reads use a with-open context manager so scanned-drive file handles close deterministically.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
  <cp:keywords>TLO Inventory Requirements v1.0 Build 310</cp:keywords>
  <dc:language>en-US</dc:language>
  <cp:lastModifiedBy/>
  <dcterms:modified xsi:type="dcterms:W3CDTF">2026-06-22T22:02:32Z</dcterms:modified>
  <cp:revision>1</cp:revision>
  <dc:subject>TLO Inventory requirements, v1.0 Build 319</dc:subject>
  <dc:title>TLO Inventory Update Requirements - Merged Complete Specification</dc:title>
</cp:coreProperties>
</file>