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Consolidated Current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rPr/>
      </w:r>
    </w:p>
    <w:p>
      <w:pPr>
        <w:rPr/>
      </w:pPr>
      <w:r>
        <w:t>This document defines the current TLO inventory requirements for search paths, accessibility, startup validation, logging, cleanup, CLI behavior, GUI behavior, metadata extraction, aggregation, and appendices. Current document version: v363 (v1.3 Build 363).</w:t>
      </w:r>
    </w:p>
    <w:p>
      <w:pPr>
        <w:pStyle w:val="Normal"/>
        <w:rPr/>
      </w:pPr>
      <w:r>
        <w:t>Document organization: Sections 1-16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r>
        <w:t xml:space="preserve"> On native Windows, any PowerShell helper used to resolve physical-drive identity must run without creating a visible console or Windows Terminal window.</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v1.3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rPr/>
        <w:t>2.12 Distribution Build and Packaging</w:t>
      </w:r>
    </w:p>
    <w:p>
      <w:pPr>
        <w:pStyle w:val="ListBullet"/>
        <w:numPr>
          <w:ilvl w:val="0"/>
          <w:numId w:val="1"/>
        </w:numPr>
        <w:rPr/>
      </w:pPr>
      <w:r>
        <w:rPr/>
        <w:t>Every numbered source update must produce platform-specific end-user release assets in addition to the source bundle and separately delivered current requirements DOCX.</w:t>
      </w:r>
    </w:p>
    <w:p>
      <w:pPr>
        <w:pStyle w:val="ListBullet"/>
        <w:numPr>
          <w:ilvl w:val="0"/>
          <w:numId w:val="1"/>
        </w:numPr>
        <w:rPr/>
      </w:pPr>
      <w:r>
        <w:rP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all five executables directly under apps/Windows with exactly one shared apps/Windows/_internal runtime folder.</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rP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t>Compliant mode applies when --compliant is set. Compliant and Rename Compliantly are mutually exclusive.</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rPr/>
        <w:t>If the Artist DB does not find one unambiguous master, use the artist text found in metadata and record the miss or collision as an observation rather than an unresolved reason.</w:t>
      </w:r>
    </w:p>
    <w:p>
      <w:pPr>
        <w:pStyle w:val="ListBullet"/>
        <w:numPr>
          <w:ilvl w:val="0"/>
          <w:numId w:val="1"/>
        </w:numPr>
        <w:rPr/>
      </w:pPr>
      <w:r>
        <w:rP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rPr/>
        <w:t>For String1 - String2, no Date is assigned and String2 remains the album/show tail. Artist output still follows the run-wide As-Is Artist Name setting.</w:t>
      </w:r>
    </w:p>
    <w:p>
      <w:pPr>
        <w:pStyle w:val="ListBullet"/>
        <w:numPr>
          <w:ilvl w:val="0"/>
          <w:numId w:val="1"/>
        </w:numPr>
        <w:rPr/>
      </w:pPr>
      <w:r>
        <w:rPr/>
        <w:t>If the Artist DB does not find one unambiguous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The main GUI includes an As-Is Artist Name checkbox. It applies to both compliant and non-compliant metadata collection and defaults to unchecked. The CLI accepts --as-is-artist-name.</w:t>
      </w:r>
    </w:p>
    <w:p>
      <w:pPr>
        <w:pStyle w:val="ListBullet"/>
        <w:numPr>
          <w:ilvl w:val="0"/>
          <w:numId w:val="1"/>
        </w:numPr>
        <w:rPr/>
      </w:pPr>
      <w:r>
        <w:rP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rP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rPr/>
        <w:t>9. Online Venue and Location Lookup</w:t>
      </w:r>
    </w:p>
    <w:p>
      <w:pPr>
        <w:pStyle w:val="ListBullet"/>
        <w:numPr>
          <w:ilvl w:val="0"/>
          <w:numId w:val="1"/>
        </w:numPr>
        <w:rPr/>
      </w:pPr>
      <w:r>
        <w:t>This section is the canonical definition of venue/location source precedence, usable-result criteria, lookup dependencies, and non-overwrite behavior.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and --setlistfm-lookup both default to false.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per-run cap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rPr/>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rP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and setlist.fm.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rP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rPr/>
        <w:t>Lookup dependency requirement: setlist.fm requiring eTreeDB must be enforced by one shared function. Startup, CLI, and GUI surfaces must all use that same rule; Section 9 is the canonical behavior description.</w:t>
      </w:r>
    </w:p>
    <w:p>
      <w:pPr>
        <w:pStyle w:val="Normal"/>
        <w:rPr/>
      </w:pPr>
      <w:r>
        <w:rPr/>
        <w:t>Max Workers supplied-detection requirement: use argparse.SUPPRESS or an equivalent parser sentinel so GUI default display rules can follow Section 2.10 without duplicating parser-specific logic.</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rP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rPr/>
        <w:t>TLOHome resolution for tlo-tag.py must preserve the internal compatibility precedence defined in Section 2.3, while user-facing help documents only --TLOHome and the TLOHome environment variable.</w:t>
      </w:r>
    </w:p>
    <w:p>
      <w:pPr>
        <w:pStyle w:val="Normal"/>
        <w:rPr/>
      </w:pPr>
      <w:r>
        <w:rPr/>
        <w:t>When tagPath is blank, the tagger must use the readyForXfer folder under the resolved TLOHome.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r/>
    </w:p>
    <w:p>
      <w:pPr>
        <w:pStyle w:val="Normal"/>
        <w:rPr/>
      </w:pPr>
      <w:r>
        <w:r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intentionally empty; Column 2 As-Is Artist Name; Column 3 Tag Copy/Delete Original; Column 4 Dry run. Artist in Album Tag defaults to checked.</w:t>
      </w:r>
    </w:p>
    <w:p>
      <w:pPr>
        <w:pStyle w:val="ListBullet"/>
        <w:numPr>
          <w:ilvl w:val="0"/>
          <w:numId w:val="1"/>
        </w:numPr>
        <w:rPr/>
      </w:pPr>
      <w:r>
        <w:rP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v1.3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rPr/>
        <w:t>Include hidden myTLO compatibility with the same precedence as CLI. It must not appear in help output or as a visible GUI field.</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t>Include Tag, Add Shows (incremental), Quit, Inventory (full), Pause, and Resume buttons in the main button row. Include a Dry run checkbox in the main options grid. Tag must display at the far left. Add Shows (incremental) and Inventory (full) must each display as centered two-line labels.</w:t>
      </w:r>
    </w:p>
    <w:p>
      <w:pPr>
        <w:pStyle w:val="ListBullet"/>
        <w:numPr>
          <w:ilvl w:val="0"/>
          <w:numId w:val="1"/>
        </w:numPr>
        <w:rPr/>
      </w:pPr>
      <w:r>
        <w:t>Main button layout: Tag is at the far left, Add Shows / (incremental) is immediately to its right, Quit is centered, and Inventory / (full), Pause, and Resume are grouped on the right. All main-row buttons must have the same height.</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v1.3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rP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v1.3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Rename Compliantly; Tag Copy; Convert shn; As-Is Artist Name; Tag Copy/Delete Original; Dry run. After that common section, report workflow-specific paths or path sources, destinations, duplicate checking, performance settings, applicable warnings, and whether original files may be changed. Tag must identify the inventory copy modes as reported but not used. Add Shows must identify Tag Copy and Tag Copy/Delete Original as reported but not used. The user may Start or Go Back.</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w:t>
      </w:r>
      <w:r>
        <w:t xml:space="preserv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pPr>
      <w:r>
        <w:t>16. Non-Functional and Input-Safety Requirements</w:t>
      </w:r>
    </w:p>
    <w:p>
      <w:pPr>
        <w:pStyle w:val="Heading2"/>
      </w:pPr>
      <w:r>
        <w:t>16.1 Bounded Reads and Malformed Input</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r>
        <w:t>External requests, interprocess coordination waits, and converter invocations must use finite timeouts. The setlist.fm state location, atomic-write rules, 20-second reservation-lock deadline, request spacing, and per-run cap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w:t>
      </w:r>
      <w:r>
        <w:t xml:space="preserve">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r>
        <w:t>The flat source-bundle root shall retain test_tlo_requirements.py as a compatibility entry point for TLO_GitHub_Build_Process_v054.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Copy-Suffix Candidate Discovery</w:t>
      </w:r>
    </w:p>
    <w:p>
      <w:pPr/>
      <w:r>
        <w:t>The utility shall search the Input Path recursively. A directory is a candidate only when its final directory-name component ends in a case-insensitive copy suffix of the form (copyN) or (copy N), where N is one or more decimal digits. The unsuffixed sibling directory with the same base name and the same parent is the original. If that unsuffixed sibling directory does not exist, the candidate shall not be deleted.</w:t>
      </w:r>
    </w:p>
    <w:p>
      <w:pPr>
        <w:pStyle w:val="Heading2"/>
      </w:pPr>
      <w:r>
        <w:t>18.3 Duplicate Comparison Rule</w:t>
      </w:r>
    </w:p>
    <w:p>
      <w:pPr/>
      <w:r>
        <w:t>Before moving any candidate to the Recycle Bin or Trash, the utility shall compare the candidate against its unsuffixed original.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w:t>
      </w:r>
    </w:p>
    <w:p>
      <w:pPr>
        <w:pStyle w:val="Heading2"/>
      </w:pPr>
      <w:r>
        <w:t>18.4 Deletion Safety and deletedDirs.txt</w:t>
      </w:r>
    </w:p>
    <w:p>
      <w:pPr/>
      <w:r>
        <w:t>When and only when the comparison succeeds, tlo-deleteDupes shall move the copy-suffixed directory as a directory to the platform Recycle Bin or Trash. It must never move the unsuffixed original directory. After a successful Trash/Recycle Bin operation, the utility shall append the full pre-deletion path of that copy directory to TLOHome/deletedDirs.txt and flush the log. Non-matching or unverifiable candidates shall be left in place and shall not be logged as deleted.</w:t>
      </w:r>
    </w:p>
    <w:p>
      <w:pPr>
        <w:pStyle w:val="Heading2"/>
      </w:pPr>
      <w:r>
        <w:t>18.5 Ctrl-C Handling</w:t>
      </w:r>
    </w:p>
    <w:p>
      <w:pPr/>
      <w:r>
        <w:t>If Ctrl-C is invoked, the utility shall stop further scanning/deletion work, unwind through the open deletedDirs.txt context so the log file is closed, report cancellation, and return exit status 130. Any entries successfully logged before the interrupt remain in deletedDirs.txt; any copy directory already moved to the Recycle Bin or Trash remains there.</w:t>
      </w:r>
    </w:p>
    <w:p>
      <w:pPr>
        <w:pStyle w:val="Heading2"/>
      </w:pPr>
      <w:r>
        <w:t>18.6 Distribution and Dependency Requirements</w:t>
      </w:r>
    </w:p>
    <w:p>
      <w:pPr/>
      <w:r>
        <w:t>The Windows onefile and shared-onedir distributions, generic Linux distribution, and macOS distribution shall include the tlo-deleteDupes executable. The build environment shall install and package send2trash so the utility uses the native Recycle Bin or Trash behavior rather than permanently deleting files.</w:t>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Path-alias limitations are specified in Section 2.6 and should be referenced from the user guide rather than restated here.</w:t>
      </w:r>
    </w:p>
    <w:p>
      <w:pPr>
        <w:pStyle w:val="ListBullet"/>
        <w:numPr>
          <w:ilvl w:val="0"/>
          <w:numId w:val="1"/>
        </w:numPr>
        <w:rPr/>
      </w:pPr>
      <w:r>
        <w:t>The TLO Search app is included in the source bundle and in every complete platform distribution. Its detailed search behavior is maintained in tlo-gsi.py and the user manual; this inventory requirements document covers only integration points such as TLOHome, bootlist.csv, setlists, packaging, and update checks.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Duplicate and nested-root handling, including the user-guide warning for symlinks, junctions, mount aliases, and case-equivalent paths, is canonical in Section 2.6.</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GUI Quit behavior is canonical in Section 15. Appendix D records only the ambiguity disposition.</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w:t>
      </w:r>
    </w:p>
    <w:p>
      <w:pPr>
        <w:pStyle w:val="Heading3"/>
        <w:rPr/>
      </w:pPr>
      <w:r>
        <w:rP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Rename Compliantly, Tag Copy, Convert shn, As-Is Artist Name, Tag Copy/Delete Original, Dry run,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t>Integer N &gt;= 0. See Section 2.10 for zero/default semantics, extreme-mode display behavior, and volume-group worker caps.</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t>setlist.fm requests must be rate-limited to at most one request every 600 milliseconds across local inventory worker processes.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setlist.fm requests must also be capped at 1,400 calls per inventory run. The cap applies across local inventory worker processes for the same run. A worker may wait no more than 20 seconds to acquire the interprocess reservation lock. On timeout, the setlist.fm lookup must record an observation and allow inventory to continue without that lookup rather than wait indefinitely.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359 defines size-free same-filesystem Copy/Delete moves and size verification for every real copy.</dc:description>
  <cp:keywords>TLO, Inventory, Requirements, v1.3, Build 362, copy versus alt, exact tree comparison</cp:keywords>
  <dc:language>en-US</dc:language>
  <cp:lastModifiedBy/>
  <dcterms:modified xsi:type="dcterms:W3CDTF">2026-08-03T22:32:32Z</dcterms:modified>
  <cp:revision>1</cp:revision>
  <dc:subject>Build 363 duplicate cleanup utility requirements</dc:subject>
  <dc:title>TLO Inventory Requirements Working v363</dc:title>
</cp:coreProperties>
</file>