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v465 (v1.6 Build 465).</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Search Path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A quoted entry may contain a literal semicolon. A Search Path entry whose physical path ends in .txt is treated as an inventory-control text file; the file may have any filename and is parsed using the same line/comment/directive rules formerly used for TLOHome/toBeInventoried.txt. Direct entries and .txt control-file entries may be mixed in one Search Path value.</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Search Path drop rules, then appended to the existing Search Path value in payload order with semicolons inserted automatically. Repeated drag actions are cumulative: for example, dragging folder A, then folder B, then folders C and D together produces A;B;C;D. Existing Search Path text must not be replaced. The completed drop must be acknowledged to TkDND with the performed drop action so Windows does not treat the drop as refused after the field has been updated. A dropped .txt file remains the file path so it can be processed as an inventory-control file; other dropped files retain the legacy behavior of using their containing folder when available. A dropped path containing a literal semicolon must be quoted automatically so it remains one Search Path entry.</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A separate slam value may also be supplied from the GUI Slam field or from the command line using --$slam STRING / legacy -$slam STRING when Search Path consists of direct entries. That separate value applies to direct entries that do not already contain an inline slam. Do not combine the separate Slam/--$slam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manifest data, checksums, and clean scan receipts. The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normal (non-Dry-Run) inventory, a validated interrupted journal must be rolled back before scanning. Recovery must also handle the case where the completed recovery container occupies the same pathname as one of the original collection members: TLO shall first move that outer recovery container to a unique sibling recovery name and then restore every staged member to its journaled original path. A validated recovery that succeeds is reported to the console and inventory continues. An unsafe, incomplete, orphaned, or unreadable TLO recovery state must fail closed rather than being traversed or guessed.</w:t>
      </w:r>
      <w:r>
        <w:t xml:space="preserve"> Before validating or rolling back a recovery journal, TLO must normalize journaled path forms to the current runtime: a Windows drive-rooted path such as E:\boots\... must map to the equivalent WSL /mnt/e/boots/... path when running under WSL, and a journaled WSL /mnt/&lt;drive&gt;/... path must map to the equivalent native Windows drive path when recovery runs on Windows. The translated final/member paths must still validate as direct children of the actual recovery-container parent before any move occurs; path translation must never bypass the existing fail-closed parent/member checks.</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w:t>
      </w:r>
      <w:r>
        <w:t xml:space="preserve"> When a journal path was translated between Windows and WSL forms, the diagnostic must show the current-runtime path and the journal path form so the user can see why the paths differ.</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and --corrupt-folder-threshold PERCENT, together with the established standalone Tag options for Rename Compliantly, Convert shn, Artist in Album, As-Is Artist Name, and debug. The setlist.fm/eTreeDB dependency and corruption-policy validation must be identical to the inventory command line.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The main-window Thorough-specific Info line must appear only when Thorough Setlist Matching is selected, setlist.fm is enabled, and setlist.fm upgrade is not enabled. In that one case, the Info line must warn that Thorough setlist.fm matching will be slow under the normal 600-millisecond / 1,400-call limits. No Thorough-specific Info line is shown when Thorough is off, when setlist.fm is off (including etreeDB-only use), or when setlist.fm upgrade is enabled.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 The main-window visual labels for Thorough Setlist Matching and Tag Copy/Delete Original are each split over two lines so their columns do not force unnecessary width. Checkbutton indicators and the first text line of every label must align at the top of each logical cell.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The folder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Slam entry must be approximately half its prior Build 460 width (33 characters instead of 66) and must not stretch across the full Search Path width; these reductions must not hide or reorder controls.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Slam label must read "Slam (optional)" on the same row as its entry; no helper/info row may appear below the Slam entry. The header, Search Path, Slam,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the GUI updater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Slam remains optional; its label must read "Slam (optional)" on the same row as its entry, with no separate helper line.</w:t>
      </w:r>
    </w:p>
    <w:p>
      <w:pPr>
        <w:pStyle w:val="ListBullet"/>
        <w:numPr>
          <w:ilvl w:val="0"/>
          <w:numId w:val="1"/>
        </w:numPr>
        <w:rPr/>
      </w:pPr>
      <w:r/>
      <w:r>
        <w:t>Include Tag, Add Shows (incremental), Research, Quit, Inventory (full), Pause, and Resume buttons in the main button row. Include a Dry run checkbox in the main options grid. Tag must display at the far left. Add Shows (incremental) and Inventory (full) may use concise two-line labels to keep the main row readable. Folder reversal is intentionally not a main-GUI action; it is provided by the standalone tlo-reverse CLI.</w:t>
      </w:r>
    </w:p>
    <w:p>
      <w:pPr>
        <w:pStyle w:val="ListBullet"/>
        <w:numPr>
          <w:ilvl w:val="0"/>
          <w:numId w:val="1"/>
        </w:numPr>
        <w:rPr/>
      </w:pPr>
      <w:r/>
      <w:r>
        <w:t>Main button layout: Tag is at the far left, Add Shows / (incremental) is immediately to its right, followed by Research in the left action group; Quit is centered; and Inventory / (full), Pause, and Resume are grouped on the right.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Tag must read and honor the current main etreeDB, setlist.fm, setlist.fm upgrade, Thorough Setlist Matching, and corruption-control values. setlist.fm retains the established eTreeDB dependency. setlist.fm upgrade applies the same 14 requests/second and 48,000 requests/day limits used elsewhere; without upgrade the normal 600-ms / 1,400-call limits apply. Thorough Setlist Matching uses the same enabled-source candidate collection/scoring behavior as inventory-time tagging. Before any standalone Tag mutation, the selected corruption file/folder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the required Search Path is blank or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Add Shows (incremental), Research,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with each label immediately to the left of its control and the percent sign immediately beside the threshold entry. The Corrupt files dropdown is only slightly wider than the compact baseline and must avoid clipping the final character of `Delete corrupt files`; it must not be unnecessarily widened.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w:t>
      </w:r>
    </w:p>
    <w:p>
      <w:pPr/>
      <w:r>
        <w:t>REQ-CORR-002  Before any corruption-driven or later rename/tag/copy-delete/SHN mutation, inspect the directly inventoried logical-show audio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398-455)</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and GUI Tag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465 recovers interrupted sibling-collection journals across native Windows and WSL path forms while retaining fail-closed validation.</dc:description>
  <cp:keywords>TLO, Inventory, Requirements, v1.6, Build 463, GUI, TLOHome, Search Path, Slam</cp:keywords>
  <dc:language>en-US</dc:language>
  <cp:lastModifiedBy/>
  <dcterms:modified xsi:type="dcterms:W3CDTF">2026-08-03T22:32:32Z</dcterms:modified>
  <cp:revision>1</cp:revision>
  <dc:subject>TLO v1.6 Build 465 requirements</dc:subject>
  <dc:title>TLO Inventory Requirements Working v465</dc:title>
</cp:coreProperties>
</file>