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GUI, Logging, Boolean, and Support Enumerations.</w:t>
      </w:r>
    </w:p>
    <w:p>
      <w:pPr>
        <w:pStyle w:val="Normal"/>
        <w:rPr/>
      </w:pPr>
      <w:r>
        <w:rPr/>
      </w:r>
    </w:p>
    <w:p>
      <w:pPr>
        <w:rPr/>
      </w:pPr>
      <w:r>
        <w:t>This document defines the current TLO inventory requirements for search paths, accessibility, startup validation, logging, cleanup, CLI behavior, GUI behavior, metadata extraction, aggregation, and appendices. Current document version: v367 (v1.3 Build 367).</w:t>
      </w:r>
    </w:p>
    <w:p>
      <w:pPr>
        <w:pStyle w:val="Normal"/>
        <w:rPr/>
      </w:pPr>
      <w:r>
        <w:t>Document organization: Sections 1-16 and Appendices A, B, and D-I are the authoritative current requirements. Settled build-by-build notes have been consolidated into the numbered sections and appendices; superseded notes remain in old-change-logs.zip and are not repeated here.</w:t>
      </w:r>
    </w:p>
    <w:p>
      <w:pPr>
        <w:pStyle w:val="Heading1"/>
        <w:rPr/>
      </w:pPr>
      <w:r>
        <w:t>1. Core Output and Processing Requirements</w:t>
      </w:r>
    </w:p>
    <w:p>
      <w:pPr>
        <w:pStyle w:val="Heading2"/>
      </w:pPr>
      <w:r>
        <w:t>1.1 General Metadata and Output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Heading2"/>
      </w:pPr>
      <w:r>
        <w:t>1.2 Exported Setlist Filename Rules</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Heading2"/>
      </w:pPr>
      <w:r>
        <w:t>1.3 Generated Setlist Content</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Heading2"/>
      </w:pPr>
      <w:r>
        <w:t>1.4 Timing and Postprocess Reporting</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Heading2"/>
      </w:pPr>
      <w:r>
        <w:t>1.5 Parallel Postprocess Assembly</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TLO must complete show grouping and metadata extraction from the original source tree before copying or moving the identified show folder. After transfer, tagging and final inventory output use the copied/moved destination tree, unless the main-window Tag Copy/Delete Original checkbox is active; in that case, the destination selected in its warning dialog is the global override.</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v1.3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t>Before Phase 1 begins, TLO must preflight destinations for operations that will create a real copy. This includes toBeInventoried.txt --$copy directives, command-line --$copy directives for a single --search-path, Tag Copy destinations, and any --$copy-delete or Tag Copy/Delete Original destination that is on a different filesystem from its source. Same-filesystem Copy/Delete Original transfers are directory moves and must be excluded from source-size totaling and destination-capacity comparison.</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require an existing fully qualified path and may display readable free-space information. Tag Copy states that the original is retained and always performs exact source-size capacity preflight because it always creates another tree. Tag Copy/Delete Original additionally warns that original material will be removed after transfer; its exact source-size capacity preflight applies only to source roots on a different filesystem from the destination. The selected destination is a global override for per-path --$copy and --$copy-delete destinations. If no Search Path override is filled, preflight must sum only roots that will actually be copied. A Dry run still requests the destination so planned move/copy behavior and any applicable capacity requirement can be reviewed, but it must not transfer or delete content.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t>Before any Tag Copy or Copy/Delete Original transfer, TLO must complete show grouping and metadata extraction from the original source tree. The source evidence includes the original folder and path components, selected setlist content, music filenames, and existing audio tags. Only after the show metadata record has been resolved may TLO copy or move the identified show folder and rewrite the active working paths to the destination. Tagging and final inventory output then use the destination path; metadata already resolved from the original source is retained. Ordinary Tag Copy always creates a real copy, even when source and destination are on the same filesystem. Before changes begin, TLO must total the full source size and compare it with destination free space. After copying, TLO must compare the source and destination relative-file maps and every corresponding file size before tagging continues; the original is retained. For Copy/Delete Original, TLO must determine filesystem identity before walking the source for sizes. If source and destination are on the same filesystem, TLO must perform a directory rename/move and must not total source file sizes, perform a source-size capacity comparison, or compare file sizes after the move. If they are on different filesystems, TLO must total the source, verify destination capacity, copy the tree, compare relative paths and file sizes, and delete the original only after verification succeeds. A destination must not be the source folder or a child of it.</w:t>
      </w:r>
    </w:p>
    <w:p>
      <w:pPr>
        <w:pStyle w:val="ListBullet"/>
      </w:pPr>
      <w:r>
        <w:t>A Tag Copy or Copy/Delete Original transfer applies to the complete identified source folder tree rooted at MAIN_DIR_PATH, not only to inventoried music files or selected setlists. The transfer must include every file and every descendant directory beneath that folder, including non-music files and empty directories. A same-filesystem Copy/Delete Original directory rename/move naturally transfers the complete tree. A real copy must recursively copy the complete tree, and post-copy verification must compare all relative file paths and file sizes plus the descendant directory structure before Copy/Delete Original may remove the source.</w:t>
      </w:r>
    </w:p>
    <w:p>
      <w:pPr>
        <w:pStyle w:val="ListBullet"/>
      </w:pPr>
      <w:r>
        <w:t>Copy-versus-alternate naming is determined by exact recursive tree identity, not by a name collision alone. Before TLO appends (copyN) to a Show qualifier or to a compliant destination/renamed folder, it must compare the incoming/source MAIN_DIR_PATH tree against existing same-base sibling or destination-family trees. A tree qualifies as a copy only when the relative descendant directory set (including empty directories), relative file set, file sizes, and byte contents of every corresponding file are all identical. After structure/path/size checks pass, byte identity shall be verified with SHA-256 or an equivalently collision-resistant full-file digest. File timestamps and other filesystem metadata do not affect copy identity. If no exact same-base tree exists, or any candidate cannot be completely read and verified, TLO must classify the collision as an alternate and use (altN), never (copyN). An input folder already ending in (copyN) must be revalidated by the same rule before that copy qualifier is propagated into SHOW_NAME; when the required exact sibling match is absent, the visible Show qualifier shall be (altN). This copy/alt rule applies to Show and folder collision naming; generated setlist filename collision handling remains a separate postprocess rule.</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all five executables directly under apps/Windows with exactly one shared apps/Windows/_internal runtime folder.</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 TLO must read no more than 1 MiB while sampling an ordinary text/RTF/DOC candidate. A full ordinary text read must be rejected when the file exceeds 16 MiB. Before reading a DOCX candidate, TLO must inspect word/document.xml and reject it when its declared uncompressed size exceeds 16 MiB; the oversized XML entry must not be decompressed.</w:t>
      </w:r>
    </w:p>
    <w:p>
      <w:pPr>
        <w:pStyle w:val="ListBullet"/>
        <w:numPr>
          <w:ilvl w:val="0"/>
          <w:numId w:val="1"/>
        </w:numPr>
        <w:rPr/>
      </w:pPr>
      <w:r>
        <w:t>A parent directory with multiple child directories is related only when every direct music-bearing child directory belongs to the same wrapper/common release relationship, such as CD1/CD2/CD3, Set 1/Set 2, Disk3, or wrapper-suffixed siblings that share the same stripped release base such as Big Release CD 1 and Big Release CD 2. If any direct music-bearing sibling is unrelated, the parent is a collection/search container and must not become the logical show root.</w:t>
      </w:r>
    </w:p>
    <w:p>
      <w:pPr>
        <w:pStyle w:val="ListBullet"/>
        <w:numPr>
          <w:ilvl w:val="0"/>
          <w:numId w:val="1"/>
        </w:numPr>
        <w:rPr/>
      </w:pPr>
      <w:r>
        <w:t>In non-compliant mode, if a music directory visible name is, or ends in, a wrapper-like release-part string such as CD 1, CD1, Disc 1, Disk3, Part 2, Set 1, or similar, check sibling music folders under the common parent for related release parts. Named suffix folders aggregate only when at least two related parts exist and all direct music-bearing children under the parent belong to that same release. Exact wrapper folders may use the parent only when no unrelated direct music-bearing child exists.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t>Volume-style release-part suffixes such as (Volume 1), (Vol 2), (Vol. 2), (v.1), and v2 are non-compliant release-part aggregation markers only for collection-style sibling folders under a common parent. A short v-number inside a larger descriptive parenthetical, such as (WLIR-FM, rm v.2), is not a volume marker. Differing-base volume siblings aggregate only when every direct music-bearing child under the parent is a volume part; the presence of any unrelated music sibling prevents parent aggregation.</w:t>
      </w:r>
    </w:p>
    <w:p>
      <w:pPr>
        <w:pStyle w:val="ListBullet"/>
        <w:numPr>
          <w:ilvl w:val="0"/>
          <w:numId w:val="1"/>
        </w:numPr>
        <w:rPr/>
      </w:pPr>
      <w:r>
        <w:t>Aggregated release-part groups must collect representative media-file paths and representative media extensions from all related part folders and must create only one metadata record and one bootlist row for the logical show. An aggregated group must never overlap another logical group under the same parent.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pPr>
      <w:r>
        <w:t>Commercial-release year form: in non-compliant mode, recognize only a leading four-digit 19xx or 20xx year that is either enclosed in parentheses or is the complete first dash-delimited component, followed by Artist - Album. Examples: (1991) - Rod Stewart - Vagabond Heart and 1995 - Rod Stewart - A Spanner In The Works. The release year is classification evidence only: do not assign it to DATE and do not include it in SHOW_NAME. Resolve the middle Artist component normally and use only the Album component as ALBUM_NAME.</w:t>
      </w:r>
    </w:p>
    <w:p>
      <w:pPr>
        <w:pStyle w:val="ListBullet"/>
      </w:pPr>
      <w:r>
        <w:t>The commercial-release year rule must not accept complete or partial dates, year ranges, two-digit years, x-filled years, or a four-digit year embedded inside another component. Examples that are not commercial-release year forms include 1991-06-29 - Artist - Album, (1991-06-29) - Artist - Album, 1991-1998 - Artist - Album, and Album 1991 - Artist - Tail.</w:t>
      </w:r>
    </w:p>
    <w:p>
      <w:pPr>
        <w:pStyle w:val="ListBullet"/>
      </w:pPr>
      <w:r>
        <w:t>For any non-compliant String1 - String2 album fallback, if the album tail begins with an exact repeat of the resolved Artist followed by the dash separator, remove that one redundant Artist component before storing ALBUM_NAME and building SHOW_NAME. Matching is case-insensitive and whitespace-normalized, and must remove only a complete leading Artist component. Example: resolved Artist Rod Stewart plus String2 Rod Stewart - Camouflage produces ALBUM_NAME Camouflage and SHOW_NAME Rod Stewart - Camouflage.</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only if every direct music-bearing child under that parent is one of those volume parts. Otherwise keep each music folder separate so a broad collection root cannot be renamed, tagged as one show, or used as one bootlist path.</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t>The canonical venue/location source precedence and non-overwrite rules are defined in Section 9. This subsection defines only how selected setlist contents are examined within that sequence.</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t>Compliant mode applies when --compliant is set. Compliant and Rename Compliantly are mutually exclusive.</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rPr/>
        <w:t>If the Artist DB does not find one unambiguous master, use the artist text found in metadata and record the miss or collision as an observation rather than an unresolved reason.</w:t>
      </w:r>
    </w:p>
    <w:p>
      <w:pPr>
        <w:pStyle w:val="ListBullet"/>
        <w:numPr>
          <w:ilvl w:val="0"/>
          <w:numId w:val="1"/>
        </w:numPr>
        <w:rPr/>
      </w:pPr>
      <w:r>
        <w:rP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rPr/>
        <w:t>For String1 - String2, no Date is assigned and String2 remains the album/show tail. Artist output still follows the run-wide As-Is Artist Name setting.</w:t>
      </w:r>
    </w:p>
    <w:p>
      <w:pPr>
        <w:pStyle w:val="ListBullet"/>
        <w:numPr>
          <w:ilvl w:val="0"/>
          <w:numId w:val="1"/>
        </w:numPr>
        <w:rPr/>
      </w:pPr>
      <w:r>
        <w:rPr/>
        <w:t>If the Artist DB does not find one unambiguous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The main GUI includes an As-Is Artist Name checkbox. It applies to both compliant and non-compliant metadata collection and defaults to unchecked. The CLI accepts --as-is-artist-name.</w:t>
      </w:r>
    </w:p>
    <w:p>
      <w:pPr>
        <w:pStyle w:val="ListBullet"/>
        <w:numPr>
          <w:ilvl w:val="0"/>
          <w:numId w:val="1"/>
        </w:numPr>
        <w:rPr/>
      </w:pPr>
      <w:r>
        <w:rP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rP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rPr/>
        <w:t>9. Online Venue and Location Lookup</w:t>
      </w:r>
    </w:p>
    <w:p>
      <w:pPr>
        <w:pStyle w:val="ListBullet"/>
        <w:numPr>
          <w:ilvl w:val="0"/>
          <w:numId w:val="1"/>
        </w:numPr>
        <w:rPr/>
      </w:pPr>
      <w:r>
        <w:t>This section is the canonical definition of venue/location source precedence, usable-result criteria, lookup dependencies, and non-overwrite behavior. Appendices H and I contain service-specific query, response, and throttling details and must not restate the precedence rules.</w:t>
      </w:r>
    </w:p>
    <w:p>
      <w:pPr>
        <w:pStyle w:val="ListBullet"/>
        <w:numPr>
          <w:ilvl w:val="0"/>
          <w:numId w:val="1"/>
        </w:numPr>
        <w:rPr/>
      </w:pPr>
      <w:r>
        <w:t>In non-compliant mode, venue/location sources are applied in this order: path-derived metadata, eTreeDB, selected setlist metadata, and setlist.fm last. setlist.fm is eligible only when eTreeDB did not return a usable venue/location result for the current Artist and normalized Date. In compliant mode, selected setlist metadata is not used, so the order is path-derived metadata, eTreeDB, then setlist.fm when eligible.</w:t>
      </w:r>
    </w:p>
    <w:p>
      <w:pPr>
        <w:pStyle w:val="ListBullet"/>
        <w:numPr>
          <w:ilvl w:val="0"/>
          <w:numId w:val="1"/>
        </w:numPr>
        <w:rPr/>
      </w:pPr>
      <w:r>
        <w:t>Every source after path parsing fills blank VENUE, CITY, REGION, COUNTRY, and LOCATION fields only. It must not replace nonblank path-derived, heuristic, venue-list, or selected-setlist values. Non-equivalent disagreements are observations; equivalent values and token-boundary subset/superset values are not disagreements. Captured parentheticals remain appended to the final show name.</w:t>
      </w:r>
    </w:p>
    <w:p>
      <w:pPr>
        <w:pStyle w:val="ListBullet"/>
        <w:numPr>
          <w:ilvl w:val="0"/>
          <w:numId w:val="1"/>
        </w:numPr>
        <w:rPr/>
      </w:pPr>
      <w:r>
        <w:t>A usable online lookup result must match the requested normalized yyyy-mm-dd Date and provide enough data to construct a location: venue and city are required; United States results also require state/stateCode, and non-United States results require country. Incomplete results are observations and do not suppress later eligible sources.</w:t>
      </w:r>
    </w:p>
    <w:p>
      <w:pPr>
        <w:pStyle w:val="Normal"/>
        <w:rPr/>
      </w:pPr>
      <w:r>
        <w:t>--etree-lookup and --setlistfm-lookup both default to false. setlist.fm may be enabled only when eTreeDB is enabled. Command-line startup with --setlistfm-lookup but without --etree-lookup is an error; the GUI must keep the dependency visible by restoring etreeDB when necessary.</w:t>
      </w:r>
    </w:p>
    <w:p>
      <w:pPr>
        <w:pStyle w:val="ListBullet"/>
        <w:numPr>
          <w:ilvl w:val="0"/>
          <w:numId w:val="1"/>
        </w:numPr>
        <w:rPr/>
      </w:pPr>
      <w:r>
        <w:t>eTreeDB resolves the exact artist using artistsRoot(name eq), queries the nested Artist.performances relationship filtered by year, normalizes returned dates locally, and matches the requested yyyy-mm-dd Date. The top-level performances(...) query must not be used. Detailed eTreeDB behavior is in Appendix H.</w:t>
      </w:r>
    </w:p>
    <w:p>
      <w:pPr>
        <w:pStyle w:val="ListBullet"/>
        <w:numPr>
          <w:ilvl w:val="0"/>
          <w:numId w:val="1"/>
        </w:numPr>
        <w:rPr/>
      </w:pPr>
      <w:r>
        <w:t>For tagging-title fallback only, the eTreeDB match may also provide set1, set2, and set3 when local title sources are unavailable. This title fallback does not alter inventory venue/location precedence or overwrite show metadata.</w:t>
      </w:r>
    </w:p>
    <w:p>
      <w:pPr>
        <w:pStyle w:val="ListBullet"/>
        <w:numPr>
          <w:ilvl w:val="0"/>
          <w:numId w:val="1"/>
        </w:numPr>
        <w:rPr/>
      </w:pPr>
      <w:r>
        <w:t>Lookup failures, no matches, invalid dates, and incomplete results must be recorded as observations and processing must continue with the next eligible source while retaining existing metadata.</w:t>
      </w:r>
    </w:p>
    <w:p>
      <w:pPr>
        <w:pStyle w:val="ListBullet"/>
        <w:numPr>
          <w:ilvl w:val="0"/>
          <w:numId w:val="1"/>
        </w:numPr>
        <w:rPr/>
      </w:pPr>
      <w:r>
        <w:t>setlist.fm requires Artist and a normalized yyyy-mm-dd Date. Detailed request construction, result selection, show-name construction, coordination state, throttling, lock timeout, and per-run cap rules are in Appendix I.</w:t>
      </w:r>
    </w:p>
    <w:p>
      <w:pPr>
        <w:pStyle w:val="ListBullet"/>
        <w:numPr>
          <w:ilvl w:val="0"/>
          <w:numId w:val="1"/>
        </w:numPr>
        <w:rPr/>
      </w:pPr>
      <w:r>
        <w:t>Compliant and non-compliant processing must call the same shared online-lookup functions so lookup behavior is maintained in one implementation path.</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pPr>
      <w:r>
        <w:t>Maintain one append-only settings log at TLOHome/logs/runSettings.log for every started Full Inventory, Tag, Process New Shows, and Process Potential Duplicate/Upgrades action, including Dry runs and command-line Inventory or Tag runs. The first line of each entry must identify the action, local date, and local time. The following lines must reproduce the same operation, path, main-window checkbox values, action-specific settings, performance or destination information, and original-file-change statement shown in the Review Operation confirmation window. Separate entries with a blank line. A GUI entry is appended only after the user chooses Start; choosing Go Back or closing the confirmation window must not create an entry. If the settings entry cannot be written, the operation must not start and the user must receive a readable error.</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t>Command-line copy/copy-delete destinations must follow the same startup capacity rules as toBeInventoried.txt destinations: ordinary copy always receives exact source-size preflight, while Copy/Delete Original receives it only when source and destination are on different filesystems.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t>Sections 13 and 13.1 are the canonical command-line option requirements for inventory, the GUI launcher, and standalone Tag. Appendix E8 contains only code-derived GUI, logging, boolean, and support enumerations and cross-references these sections instead of repeating the argument list.</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t>Add and maintain a standalone command-line tagger named tlo-tag.py. It must behave the same as running the GUI Tag workflow after the user starts tagging from the Tagger window. The GUI Tag window must not duplicate main-window option checkboxes. It contains the Tagging Path and action/progress controls, reads the current main-window checkbox values when Tag is clicked, and displays all main-window checkbox values in Review Operation before any dry run or real tagging begins.</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This rule applies to Full Inventory with Tag in Place, Tag Copy, or Tag Copy/Delete Original, to Add Shows tagging, and to standalone Tag.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The Tag Copy window explains that the original is retained, exact capacity preflight always applies, and every copied file is verified by relative path and size. The Tag Copy/Delete Original window additionally warns that original material will be removed; it explains that same-partition transfers are directory moves with no source-size totaling or file-size comparison, while different-partition transfers receive exact capacity preflight and per-file size verification before deletion. OK remains unavailable until the path is valid and available-storage information can be read. The selected destination overrides per-path --$copy and --$copy-delete destinations from toBeInventoried.txt. If the Search Path field is empty, TLO must preflight only roots that will actually be copied. Dry run follows the same destination selection and planning sequence without performing the transfer.</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use a three-row, four-column grid. Row and column numbers in this document are one-based. Row 1 is: Column 1 etreeDB; Column 2 Compliant; Column 3 Tag in Place; Column 4 Artist in Album Tag. Row 2 is: Column 1 setlist.fm; Column 2 Rename Compliantly; Column 3 Tag Copy; Column 4 Convert shn. Row 3 is: Column 1 intentionally empty; Column 2 As-Is Artist Name; Column 3 Tag Copy/Delete Original; Column 4 Dry run.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v1.3 Build number, developer attribution, tool attribution, and contact text. FAQ opens TLOHome/TLO-FAQ.txt; TLO-FAQ.txt is included in the source bundle and end-user complete distributions.</w:t>
      </w:r>
    </w:p>
    <w:p>
      <w:pPr>
        <w:pStyle w:val="ListBullet"/>
      </w:pPr>
      <w:r>
        <w:t>The Inventory GUI hamburger menu must include a top-level Donate cascade. Donate contains Venmo and Check cascades, each displayed with the platform menu chevron. Venmo displays @James-Scarano-3. Check displays James Scarano, 49 Majestic Ave., Nashua, NH 03063. All donation detail rows must use normal enabled menu text so they display as dark text rather than disabled gray text. Selecting a donation detail row must not launch an external service or perform another action.</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r>
        <w:t>All pre-execution settings reporting must use the canonical Review Operation requirements in Section 14.1. Child windows must read current main-window values at action time rather than retain snapshots from when they were opened.</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a Dry run checkbox, or duplicated main-window option checkboxes. Check for Duplicates remains because it is specific to Process New Shows. When either Add Shows action is clicked, it must read the current main-window checkbox values.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must report the selected value in Review Operation and identify the two Full Inventory copy modes as not used by Add Shows, so it does not create a second destination outside the readyForXfer, dups, and staged workflow. Add Shows must not maintain a separate Mode display of duplicated main-window settings.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selecting either one in the GUI clears the other, and supplying both on the inventory, GUI-launcher, or standalone-tagger command line is an error. Checking Tag Copy or Tag Copy/Delete Original only selects the mode; the destination is requested after Inventory starts. Cancelling that destination dialog cancels the pending action but leaves the selected mode checked. Rename Compliantly remains independent of tagging. As-Is Artist Name defaults off and controls whether matched aliases are emitted as the Artist DB master or preserved as discovered. Dry run defaults off and is controlled only by the main Inventory window. Tag and Add Shows must not duplicate these main-window checkboxes and must read their current values when an action starts. The canonical checkbox reporting order and workflow-specific Review Operation rules are in Section 14.1.</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verifies all relative file paths and file sizes, tags the copy, and keeps the original source tree in the inventory. When Tag Copy/Delete Original is used, TLO captures metadata from the original source tree and records the destination in the inventory. A same-filesystem transfer is a directory rename/move with no size totaling or file-size verification. A cross-filesystem transfer is copied and verified by relative path and file size before the original is deleted; the destination is then tagged.</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v1.3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show folder in place without tagging. A broad collection or search parent containing unrelated music folders must never be renamed as one show merely because descendant folders contain wrapper or volume-like suffixes. The GUI and CLI must accept the valid rename-only combination without an alert or validation error. A standalone or GUI Tag run always writes tags directly to the selected Tagging Path and may rename an identified show folder before tagging, provided Compliant is not selected.</w:t>
      </w:r>
    </w:p>
    <w:p>
      <w:pPr>
        <w:pStyle w:val="Normal"/>
        <w:rPr/>
      </w:pPr>
      <w:r>
        <w:t>The Tagger window must include a console subwindow that receives the same concise folder/file messages written by the standalone CLI tagger. It must not contain duplicated main-window option checkboxes. When Tag is clicked, it must read the current main-window values and follow the canonical Review Operation reporting rules in Section 14.1. Standalone Tag always writes directly to the selected Tagging Path: the three inventory copy-mode values are reported but do not cause copying or moving. The standalone CLI must continue to reject Compliant and Rename Compliantly together.</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v1.3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 window must not display duplicated main-window option checkboxes. It must read the current main-window checkbox values when Tag is clicked and report every value in the shared Review Operation dialog before execution.</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Tag, Process New Shows, or Process Potential Duplicate/Upgrades begins, the shared Review Operation dialog must report the same ordered main-window checkbox section: etreeDB; Compliant; Tag in Place; Artist in Album Tag; setlist.fm; Rename Compliantly; Tag Copy; Convert shn; As-Is Artist Name; Tag Copy/Delete Original; Dry run. After that common section, report workflow-specific paths or path sources, destinations, duplicate checking, performance settings, applicable warnings, and whether original files may be changed. Tag must identify the inventory copy modes as reported but not used. Add Shows must identify Tag Copy and Tag Copy/Delete Original as reported but not used. The user may Start or Go Back.</w:t>
      </w:r>
    </w:p>
    <w:p>
      <w:pPr>
        <w:pStyle w:val="ListBullet"/>
      </w:pPr>
      <w:r>
        <w:t>After Start is selected, append the reviewed settings to TLOHome/logs/runSettings.log before launching the worker or Dry run. Use the same review-line list for the dialog and the log entry so displayed and recorded values cannot diverge.</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w:t>
      </w:r>
      <w:r>
        <w:t xml:space="preserve"> The indeterminate activity indicator in each of these three windows must use a 120-millisecond animation interval, which is one-tenth the movement speed of the former 12-millisecond interval; this visual timing must not affect operation throughput, worker scheduling, elapsed-time updates, or results.</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no duplicated main-window option checkboxes, and does not display a separate notice about inheriting values from the main window. It provides Tagging Path, Tag, Pause/Resume, Quit, Current Operation, and output controls. It must not provide a Dry run checkbox. When the main-window Dry run value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2"/>
      </w:pPr>
      <w:r>
        <w:t>14.3 User Manual Content Requirements</w:t>
      </w:r>
    </w:p>
    <w:p>
      <w:r>
        <w:t>The current user manual shall provide a first-inventory Quick Start before detailed installation and path theory.</w:t>
      </w:r>
    </w:p>
    <w:p>
      <w:r>
        <w:t>The manual shall include symptom/cause/action troubleshooting and explain the structured SKIP_, WARN_, and ERROR_ reason codes exposed to users.</w:t>
      </w:r>
    </w:p>
    <w:p>
      <w:r>
        <w:t>The documented command-line table shall cover every supported user-facing option while continuing to omit intentionally undocumented compatibility options.</w:t>
      </w:r>
    </w:p>
    <w:p>
      <w:r>
        <w:t>The manual shall include a glossary for TLO-specific terms and shall identify summary.log, runSettings.log, tokenized Inventory logs, tagsT.txt, and tageT.txt accurately.</w:t>
      </w:r>
    </w:p>
    <w:p>
      <w:r>
        <w:t>The manual shall include current screenshots of the main Inventory window, Review Operation, Tag, and Add Shows. Screenshots are explanatory and do not override normative control requirements.</w:t>
      </w:r>
    </w:p>
    <w:p>
      <w:r>
        <w:t>One-time optional shortcut instructions shall not outweigh recurring operational, troubleshooting, tagging, and logging guidance.</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pPr>
      <w:r>
        <w:t>16. Non-Functional and Input-Safety Requirements</w:t>
      </w:r>
    </w:p>
    <w:p>
      <w:pPr>
        <w:pStyle w:val="Heading2"/>
      </w:pPr>
      <w:r>
        <w:t>16.1 Bounded Reads and Malformed Input</w:t>
      </w:r>
    </w:p>
    <w:p>
      <w:r>
        <w:t>Files encountered in scanned collection trees are untrusted input. Ordinary text sampling must read no more than 1 MiB from disk before decoding and applying any smaller character-sample limit. A requested full ordinary-text read larger than 16 MiB must be rejected with a readable outcome instead of loading the complete file into memory.</w:t>
      </w:r>
    </w:p>
    <w:p>
      <w:r>
        <w:t>For DOCX setlist candidates, inspect the ZipInfo.file_size of word/document.xml before reading or decompressing it. Reject the candidate when the uncompressed entry exceeds 16 MiB. Missing, corrupt, encrypted, oversized, binary-like, or otherwise unreadable candidates must be treated as unusable input, reported with the affected path when practical, and must not stop unrelated roots or shows from being processed.</w:t>
      </w:r>
    </w:p>
    <w:p>
      <w:pPr>
        <w:pStyle w:val="Heading2"/>
      </w:pPr>
      <w:r>
        <w:t>16.2 Availability and Timeout Bounds</w:t>
      </w:r>
    </w:p>
    <w:p>
      <w:r>
        <w:t>External requests, interprocess coordination waits, and converter invocations must use finite timeouts. The setlist.fm state location, atomic-write rules, 20-second reservation-lock deadline, request spacing, and per-run cap are canonical in Appendix I. SHN/SHNF conversion uses a maximum per-file runtime of 30 minutes. A timeout must produce a readable observation or error and allow processing to continue when the affected operation is optional.</w:t>
      </w:r>
    </w:p>
    <w:p>
      <w:pPr>
        <w:pStyle w:val="Heading2"/>
      </w:pPr>
      <w:r>
        <w:t>16.3 Collection Size and Path Depth</w:t>
      </w:r>
    </w:p>
    <w:p>
      <w:r>
        <w:t>TLO imposes no application-specific fixed ceiling on the number of search roots, show groups, music folders, or media files. Practical capacity is determined by the selected performance mode, configured worker cap, available memory, filesystem performance, and platform limits. Path length and directory depth are subject to the host operating system and filesystem; path-too-long, inaccessible, or malformed-path failures must be reported for the affected item without crashing unrelated roots.</w:t>
      </w:r>
    </w:p>
    <w:p>
      <w:r>
        <w:t>The bounded-read rules in Section 16.1 are the required memory protection for individual candidate text files. No guarantee is made that a complete inventory has a fixed memory ceiling independent of the number of metadata records being processed.</w:t>
      </w:r>
    </w:p>
    <w:p>
      <w:pPr>
        <w:pStyle w:val="Heading2"/>
      </w:pPr>
      <w:r>
        <w:t>16.4 Diagnostic Log Growth Policy</w:t>
      </w:r>
    </w:p>
    <w:p>
      <w:r>
        <w:t>TLOHome/CorruptFlacs.txt is append-only diagnostic history. Duplicate paths across runs are intentionally allowed as evidence of repeated failure. TLO does not automatically rotate, truncate, or deduplicate this file; the operator may archive or delete it when no inventory or Tag action is active.</w:t>
      </w:r>
    </w:p>
    <w:p>
      <w:r>
        <w:t>TLOHome/logs/runSettings.log is also append-only and is not automatically rotated or truncated. Tokenized per-run logs remain governed by the active-run allocation, replacement, and cleanup rules in Section 12. Operators may archive runSettings.log when no TLO action is active.</w:t>
      </w:r>
    </w:p>
    <w:p>
      <w:pPr>
        <w:pStyle w:val="Heading1"/>
      </w:pPr>
      <w:r>
        <w:t>17. Test Suite Architecture and Execution Requirements</w:t>
      </w:r>
    </w:p>
    <w:p>
      <w:pPr>
        <w:pStyle w:val="Heading2"/>
      </w:pPr>
      <w:r>
        <w:t>17.1 Test Categories</w:t>
      </w:r>
    </w:p>
    <w:p>
      <w:pPr/>
      <w:r>
        <w:t>The regression suite shall separate fast unit checks, executable behavior checks, multi-module integration scenarios, source/document/release contracts, and GUI checks into tests/unit, tests/behavior, tests/integration, and tests/contracts.</w:t>
      </w:r>
    </w:p>
    <w:p>
      <w:pPr>
        <w:pStyle w:val="ListBullet"/>
      </w:pPr>
      <w:r>
        <w:t>Source-text and documentation assertions remain valid contract tests, but they shall not be presented as behavioral assurance.</w:t>
      </w:r>
    </w:p>
    <w:p>
      <w:pPr>
        <w:pStyle w:val="ListBullet"/>
      </w:pPr>
      <w:r>
        <w:t>Important application behavior shall be tested by executing functions or workflows rather than only inspecting source text.</w:t>
      </w:r>
    </w:p>
    <w:p>
      <w:pPr>
        <w:pStyle w:val="Heading2"/>
      </w:pPr>
      <w:r>
        <w:t>17.2 Pytest Markers</w:t>
      </w:r>
    </w:p>
    <w:p>
      <w:pPr/>
      <w:r>
        <w:t>The suite shall register and use the pytest markers contract, gui, integration, slow, behavior, and unit. Unknown-marker warnings are not acceptable.</w:t>
      </w:r>
    </w:p>
    <w:p>
      <w:pPr>
        <w:pStyle w:val="Heading2"/>
      </w:pPr>
      <w:r>
        <w:t>17.3 Tkinter Handling</w:t>
      </w:r>
    </w:p>
    <w:p>
      <w:pPr/>
      <w:r>
        <w:t>GUI test modules shall use pytest.importorskip("tkinter", reason="Tkinter is required for GUI regression tests"). Systems without Tkinter shall still run the non-GUI suite. Tests that execute Tk widgets may skip when no graphical display is available; the Linux build shall execute them under xvfb-run.</w:t>
      </w:r>
    </w:p>
    <w:p>
      <w:pPr>
        <w:pStyle w:val="Heading2"/>
      </w:pPr>
      <w:r>
        <w:t>17.4 Behavioral and Integration Coverage</w:t>
      </w:r>
    </w:p>
    <w:p>
      <w:pPr/>
      <w:r>
        <w:t>Behavioral coverage shall execute the shared progress-indicator interval, the actual checkbox grid positions, command-line parsing, Artist in Album tag behavior, parenthetical preservation, and exact runSettings.log output.</w:t>
      </w:r>
    </w:p>
    <w:p>
      <w:pPr/>
      <w:r>
        <w:t>The integration category shall contain at least ten small synthetic filesystem or workflow scenarios covering grouping, unrelated-sibling blocking, rename path propagation, same-filesystem Copy/Delete moves without size checks, cross-filesystem Copy/Delete verification, ordinary Tag Copy verification, dry-run non-modification, Add Shows, and labeled-volume re-inventory replacement.</w:t>
      </w:r>
      <w:r>
        <w:t xml:space="preserve"> Transfer coverage must include nested non-music files and empty descendant directories for same-filesystem moves, cross-filesystem Copy/Delete Original, and ordinary Tag Copy.</w:t>
      </w:r>
    </w:p>
    <w:p>
      <w:pPr>
        <w:pStyle w:val="ListBullet"/>
      </w:pPr>
      <w:r>
        <w:t>Synthetic audio placeholders and mocked Mutagen/conversion operations may be used when real encoded audio is not necessary to exercise the workflow.</w:t>
      </w:r>
    </w:p>
    <w:p>
      <w:pPr>
        <w:pStyle w:val="Heading2"/>
      </w:pPr>
      <w:r>
        <w:t>17.5 Build Process Compatibility</w:t>
      </w:r>
    </w:p>
    <w:p>
      <w:pPr/>
      <w:r>
        <w:t>The flat source-bundle root shall retain test_tlo_requirements.py as a compatibility entry point for TLO_GitHub_Build_Process_v054 and later. That entry point shall load the categorized suite so the existing CI command continues to execute all tests.</w:t>
      </w:r>
    </w:p>
    <w:p>
      <w:pPr>
        <w:pStyle w:val="Heading1"/>
      </w:pPr>
      <w:r>
        <w:t>18. Duplicate Cleanup Utility Requirements</w:t>
      </w:r>
    </w:p>
    <w:p>
      <w:pPr>
        <w:pStyle w:val="Heading2"/>
      </w:pPr>
      <w:r>
        <w:t>18.1 Entry Point, TLOHome, and Input Path</w:t>
      </w:r>
    </w:p>
    <w:p>
      <w:pPr/>
      <w:r>
        <w:t>The release shall include tlo-deleteDupes.py as a console main. It shall accept one required positional Input Path plus --TLOHome and the compatibility alias --myTLO. TLOHome resolution shall use the same shared resolution logic as the other mains. The Input Path shall be rejected unless it is a fully qualified, existing, readable directory path.</w:t>
      </w:r>
    </w:p>
    <w:p>
      <w:pPr>
        <w:pStyle w:val="Heading2"/>
      </w:pPr>
      <w:r>
        <w:t>18.2 Candidate Discovery and Alphabetical Master Selection</w:t>
      </w:r>
    </w:p>
    <w:p>
      <w:pPr/>
      <w:r>
        <w:t>The utility shall search the Input Path recursively and analyze same-parent sibling directories. For a directory whose final name ends in a case-insensitive copy suffix of the form (copyN) or (copy N), where N is one or more decimal digits, the utility shall retain the existing discovery rules: first consider an existing same-parent non-copy sibling whose name exactly equals the candidate name with the copy suffix removed, then consider other same-parent non-copy siblings when the normalized artist and date extracted from the folder names are identical. Exact unsuffixed base-name candidates shall be considered first. In addition, when two or more same-parent directories have no copy suffix and have the same normalized artist and date, the utility shall sort those unsuffixed directory names alphabetically without regard to case. The alphabetically first directory is the master and shall be protected from relocation. Each later unsuffixed directory is treated as a copy candidate and may be moved only if it also passes the duplicate comparison in 18.3. Same-artist/date discovery shall recognize a standalone four-digit 19xx/20xx year, a yyyy-mm-dd style date with numeric or xx month/day components, and a four-digit-year to four-digit-year range. An unknown date without an actual four-digit year shall not broaden candidate discovery.</w:t>
      </w:r>
    </w:p>
    <w:p>
      <w:pPr>
        <w:pStyle w:val="Heading2"/>
      </w:pPr>
      <w:r>
        <w:t>18.3 Duplicate Comparison Rule</w:t>
      </w:r>
    </w:p>
    <w:p>
      <w:pPr/>
      <w:r>
        <w:t>Before moving any candidate into the duplicates holding folder, the utility shall compare the candidate against its selected master/kept sibling. A duplicate match requires the same relative directory structure, including empty nested directories, and the same relative file names and file sizes throughout the entire tree. The duplicate-cleanup comparison intentionally does not hash or compare file bytes and does not use timestamps, ownership, permissions, or other filesystem metadata. Corresponding symbolic links, when present, shall have the same relative name and link target and shall not be followed during comparison. A same-artist/date name match alone is never sufficient for relocation. A later unsuffixed folder that does not match the alphabetically first master remains in place even if it matches another later folder. If a copy-suffixed folder initially points at an unsuffixed folder that has itself qualified as a duplicate of the alphabetical master, the surviving alphabetical master shall be used as the kept folder for the copy-suffixed candidate as well.</w:t>
      </w:r>
    </w:p>
    <w:p>
      <w:pPr>
        <w:pStyle w:val="Heading2"/>
      </w:pPr>
      <w:r>
        <w:t>18.4 FLAC Integrity Validation and Repair Before Move</w:t>
      </w:r>
    </w:p>
    <w:p>
      <w:pPr/>
      <w:r>
        <w:t>After one or more candidate sibling directories pass the duplicate-comparison rule in 18.3, and before any qualifying duplicate is moved into the duplicates holding folder, tlo-deleteDupes shall recursively validate every regular .flac file in the selected master/kept directory tree. Validation shall decode the complete FLAC audio stream with the application-bundled ffmpeg supplied by imageio-ffmpeg and shall treat any decoder error or nonzero decoder exit status as corruption. A successful tag/header read alone is not sufficient.</w:t>
      </w:r>
    </w:p>
    <w:p>
      <w:pPr/>
      <w:r>
        <w:t>For each corrupt FLAC in the selected master/kept directory, the utility shall look for the same relative FLAC path in qualifying duplicate directories. Copy-suffixed repair sources shall retain ascending numeric copy order (copy1, copy2, copy3, and so on). Qualifying unsuffixed repair sources shall be considered in the same alphabetical order used to classify them after the master. A candidate FLAC may be used as a replacement only if its complete FLAC stream validates successfully. Structurally non-matching candidates that failed 18.3 shall not be used as repair sources and shall remain outside the relocation set.</w:t>
      </w:r>
    </w:p>
    <w:p>
      <w:pPr/>
      <w:r>
        <w:t>When a healthy replacement is found, tlo-deleteDupes shall copy it to a temporary file in the master's directory, replace the corrupt master file atomically, and validate the installed replacement again. Every qualifying duplicate directory remains intact until repair attempts for that master have completed.</w:t>
      </w:r>
    </w:p>
    <w:p>
      <w:pPr/>
      <w:r>
        <w:t>If no healthy replacement can be found, or a replacement cannot be installed successfully, the utility shall report the unrepaired corrupt FLAC and continue. Failure to repair a corrupt FLAC shall not retain an otherwise qualifying duplicate directory: every candidate that passed 18.3 shall still be moved into the duplicates holding folder. The selected master/kept directory itself shall never be moved.</w:t>
      </w:r>
    </w:p>
    <w:p>
      <w:pPr>
        <w:pStyle w:val="Heading2"/>
      </w:pPr>
      <w:r>
        <w:t>18.5 Partition-Root Duplicates Holding Folder and deletedDirs.txt</w:t>
      </w:r>
    </w:p>
    <w:p>
      <w:pPr/>
      <w:r>
        <w:t>For the filesystem/partition containing the Input Path, tlo-deleteDupes shall use a folder named duplicates at the root of the partition. If that folder does not exist, the utility shall create it before moving qualifying duplicates. On Windows this is the drive/share root (for example E:\\duplicates). On Linux and macOS this is the mounted-filesystem root containing the Input Path (for example /mnt/music/duplicates or /Volumes/Music/duplicates). When and only when the duplicate comparison succeeds, the qualifying duplicate directory shall be moved as one complete directory tree into that holding folder; the utility shall not enumerate or move child files individually. For a same-artist/date set with no copy suffixes, the alphabetically first folder is always protected as the master and only later matching folders may be moved. For copy-suffixed candidates, the selected surviving kept/master sibling remains protected. The utility shall not overwrite an existing holding-folder entry: when the same directory name already exists in duplicates, use a collision-safe suffix such as (moved 2), (moved 3), and so on. If the Input Path includes the partition root, the utility shall exclude the duplicates holding folder from duplicate discovery so previously moved material is not analyzed again. After each successful move, the utility shall append the full pre-move source path of that duplicate directory to TLOHome/deletedDirs.txt and flush the log. Non-matching or unverifiable candidates shall be left in place and shall not be logged.</w:t>
      </w:r>
    </w:p>
    <w:p>
      <w:pPr>
        <w:pStyle w:val="Heading2"/>
      </w:pPr>
      <w:r>
        <w:t>18.6 Ctrl-C Handling</w:t>
      </w:r>
    </w:p>
    <w:p>
      <w:pPr/>
      <w:r>
        <w:t>If Ctrl-C is invoked, the utility shall stop further scanning/move work, unwind through the open deletedDirs.txt context so the log file is closed, report cancellation, and return exit status 130. Any entries successfully logged before the interrupt remain in deletedDirs.txt; any duplicate directory already moved into the partition-root duplicates folder remains there.</w:t>
      </w:r>
    </w:p>
    <w:p>
      <w:pPr>
        <w:pStyle w:val="Heading2"/>
      </w:pPr>
      <w:r>
        <w:t>18.7 Distribution and Dependency Requirements</w:t>
      </w:r>
    </w:p>
    <w:p>
      <w:pPr/>
      <w:r>
        <w:t>The Windows onefile and shared-onedir distributions, generic Linux distribution, and macOS distribution shall include the tlo-deleteDupes executable. The tlo-deleteDupes executable shall package imageio-ffmpeg, including its native ffmpeg binary/data, so full FLAC decode validation is self-contained on every supported platform. send2trash is no longer required by tlo-deleteDupes because qualifying duplicate directories are moved into the partition-root duplicates holding folder.</w:t>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r>
              <w:t>Core output and processing requirements</w:t>
            </w:r>
          </w:p>
        </w:tc>
        <w:tc>
          <w:tcPr>
            <w:tcW w:w="2880" w:type="dxa"/>
            <w:tcBorders/>
          </w:tcPr>
          <w:p>
            <w:r>
              <w:t>tlo_postprocess.py / tlo_text_utils.py / shared normalization utilities</w:t>
            </w:r>
          </w:p>
        </w:tc>
        <w:tc>
          <w:tcPr>
            <w:tcW w:w="2880" w:type="dxa"/>
            <w:tcBorders/>
          </w:tcPr>
          <w:p>
            <w:r>
              <w:t>Output normalization, exported/generated setlists, elapsed time, postprocess reporting, and bounded parallel assembly.</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r>
        <w:tc>
          <w:tcPr>
            <w:tcW w:type="dxa" w:w="2880"/>
          </w:tcPr>
          <w:p>
            <w:r>
              <w:t>Non-functional and input-safety limits</w:t>
            </w:r>
          </w:p>
        </w:tc>
        <w:tc>
          <w:tcPr>
            <w:tcW w:type="dxa" w:w="2880"/>
          </w:tcPr>
          <w:p>
            <w:r>
              <w:t>tlo_text_utils.py / tlo_setlistfm_lookup.py / tlo_tag_lib.py</w:t>
            </w:r>
          </w:p>
        </w:tc>
        <w:tc>
          <w:tcPr>
            <w:tcW w:type="dxa" w:w="2880"/>
          </w:tcPr>
          <w:p>
            <w:r>
              <w:t>Bound input reads, finite waits, document collection/path limits, and diagnostic-log growth policy.</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t>The TLO Search app is included in the source bundle and in every complete platform distribution. Its detailed search behavior is maintained in tlo-gsi.py and the user manual; this inventory requirements document covers only integration points such as TLOHome, bootlist.csv, setlists, packaging, and update checks.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t>Generated setlist content is defined canonically in Section 1.3. This appendix does not restate the first-line, metadata-line, TRACKS heading, title-derivation, or ordering rules.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t>E8. GUI, Logging, Boolean, and Support Enumerations</w:t>
      </w:r>
    </w:p>
    <w:p>
      <w:pPr>
        <w:pStyle w:val="Heading3"/>
        <w:rPr/>
      </w:pPr>
      <w:r>
        <w:t>Command-line option reference</w:t>
      </w:r>
    </w:p>
    <w:p>
      <w:pPr>
        <w:pStyle w:val="Normal"/>
        <w:rPr/>
      </w:pPr>
      <w:r>
        <w:t>The canonical supported and rejected command-line options, defaults, dependencies, hidden compatibility arguments, and application-specific carve-outs are defined in Sections 13 and 13.1. This appendix does not restate them.</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t>This appendix documents the eTreeDB interface used when --etree-lookup is enabled. Section 9 is canonical for source precedence, usable-result criteria, fill-blanks-only behavior, and disagreement handling.</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t>If the query fails or no matching performance remains after local filtering, record an observation and continue according to Section 9.</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t>Application of returned venue/location fields follows Section 9. eTreeDB fills blank fields only, preserves existing metadata, and records non-equivalent disagreements as observations.</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t>This appendix documents the setlist.fm last-resort service interface. Section 9 is canonical for source precedence, lookup eligibility, usable-result criteria, fill-blanks-only behavior, and disagreement handling.</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t>Invocation position and non-overwrite behavior follow Section 9. setlist.fm is queried only when enabled, required Artist/Date inputs exist, and eTreeDB did not return a usable venue/location result for the current show. Compliant mode has no selected-setlist metadata stage.</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t>setlist.fm requests must be rate-limited to at most one request every 600 milliseconds across local inventory worker processes. The interprocess rate-limit lock must not be held while a worker sleeps before its own request. Coordination state must be stored under TLOHome/logs/setlistfm-state, not in the shared system temporary directory. State updates must use same-directory temporary files and atomic replacement, and symlinked state or lock paths must be rejected.</w:t>
      </w:r>
    </w:p>
    <w:p>
      <w:pPr>
        <w:pStyle w:val="ListBullet"/>
        <w:numPr>
          <w:ilvl w:val="0"/>
          <w:numId w:val="1"/>
        </w:numPr>
        <w:rPr/>
      </w:pPr>
      <w:r>
        <w:t>setlist.fm requests must also be capped at 1,400 calls per inventory run. The cap applies across local inventory worker processes for the same run. A worker may wait no more than 20 seconds to acquire the interprocess reservation lock. On timeout, the setlist.fm lookup must record an observation and allow inventory to continue without that lookup rather than wait indefinitely.</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359 defines size-free same-filesystem Copy/Delete moves and size verification for every real copy.</dc:description>
  <cp:keywords>TLO, Inventory, Requirements, v1.3, Build 362, copy versus alt, exact tree comparison</cp:keywords>
  <dc:language>en-US</dc:language>
  <cp:lastModifiedBy/>
  <dcterms:modified xsi:type="dcterms:W3CDTF">2026-08-03T22:32:32Z</dcterms:modified>
  <cp:revision>1</cp:revision>
  <dc:subject>Build 367 partition-root duplicate holding-folder requirements</dc:subject>
  <dc:title>TLO Inventory Requirements Working v367</dc:title>
</cp:coreProperties>
</file>