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v397 (v1.4 Build 397).</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and the complete candidate returns no Artist DB match, retry the Artist DB lookup once after removing that terminal word, case-insensitively. The complete candidate is always searched first and wins if it exists. Accept the stripped retry only when it resolves to exactly one master name; ambiguous stripped results remain unresolved.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r>
        <w:t>Add a main-window text box labeled acceptable corruption % and a CLI option --acceptable-corruption-percent. Accept integers 0 through 100 inclusive only; default 100.</w:t>
      </w:r>
    </w:p>
    <w:p>
      <w:r>
        <w:t>Before rename, Tag Copy, Copy/Delete Original, Tag in Place, or other show-folder mutation, inspect the logical show audio files for readable audio metadata. Let total be the number of inventoried audio files and corrupt be files that cannot be opened/recognized by the audio parser. Remove only when corrupt * 100 &gt; acceptable_percent * total; equality is acceptable.</w:t>
      </w:r>
    </w:p>
    <w:p>
      <w:r>
        <w:t>When the threshold is exceeded, move MAIN_DIR_PATH to the operating system Trash/Recycle Bin. Never permanently delete as a fallback. Only after the Trash/Recycle Bin move succeeds may the show/metadata/setlist/bootlist entry be omitted from the inventory. Log REMOVED_CORRUPTION with path, counts, percentage, threshold, and action.</w:t>
      </w:r>
    </w:p>
    <w:p>
      <w:r>
        <w:t>If the Trash/Recycle Bin operation fails, log CORRUPTION_REMOVAL_FAILED and keep the folder and inventory record intact.</w:t>
      </w:r>
    </w:p>
    <w:p>
      <w:r>
        <w:t>Full Inventory Dry Run must not move anything; it reports WOULD_REMOVE_CORRUPTION with corrupt/total counts and threshold information.</w:t>
      </w:r>
    </w:p>
    <w:p>
      <w:pPr/>
      <w:r>
        <w:t>Regression tests that intentionally use invalid placeholder audio while testing unrelated copy/delete, rename, tag, or unidentified-show behavior must explicitly set acceptable corruption % to 100 so test outcomes do not depend on whether the host Trash backend succeeds.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380: add narrow compliant String1 - String2 Date boundary precedence before generic dash fallback.</dc:description>
  <cp:keywords>TLO, Inventory, Requirements, v1.4, Build 380, compliant, String1 - String2 Date</cp:keywords>
  <dc:language>en-US</dc:language>
  <cp:lastModifiedBy/>
  <dcterms:modified xsi:type="dcterms:W3CDTF">2026-08-03T22:32:32Z</dcterms:modified>
  <cp:revision>1</cp:revision>
  <dc:subject>TLO v1.4 Build 395 requirements</dc:subject>
  <dc:title>TLO Inventory Requirements Working v380</dc:title>
</cp:coreProperties>
</file>