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v354 (v1.2 Build 354).</w:t>
      </w:r>
    </w:p>
    <w:p>
      <w:pPr>
        <w:pStyle w:val="Normal"/>
        <w:rPr/>
      </w:pPr>
      <w:r>
        <w:rPr/>
        <w:t>Document organization: Sections 1-15 and Appendices A-I are the authoritative current requirements. Settled build-by-build notes have been consolidated into the numbered sections and appendices; superseded notes remain in old-change-logs.zip and are not repeated here.</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v1.2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copy/delete-original inventory folders. This includes toBeInventoried.txt --$copy and --$copy-delete directives, command-line --$copy and --$copy-delete directives for a single --search-path, Tag Copy destinations, and the destination selected through the main-window Tag Copy/Delete Original checkbox.</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use the same existing-full-path and readable-free-space validation. Tag Copy states that the original is retained; Tag Copy/Delete Original additionally warns that original material will be removed after verified transfer. The selected destination is a global override for per-path --$copy and --$copy-delete destinations. If no Search Path override is filled, the preflight must compare that one destination against the sum of all accessible roots loaded from toBeInventoried.txt. A Dry run still requests the destination so planned copy behavior and capacity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Detailed request, result-selection, show-name construction, throttling, and cap rules are canonical in Appendix I.</w:t>
      </w:r>
    </w:p>
    <w:p>
      <w:pPr>
        <w:pStyle w:val="ListBullet"/>
        <w:numPr>
          <w:ilvl w:val="0"/>
          <w:numId w:val="1"/>
        </w:numPr>
        <w:rPr/>
      </w:pPr>
      <w:r>
        <w:rPr/>
        <w:t>setlist.fm rate limiting and the per-run call cap are defined in Appendix I and apply across local inventory worker processes.</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rPr/>
        <w:t>--debug [BOOL] (optional command-line-only GUI flag; enables debug output without changing the concise startup banner)</w:t>
        <w:br/>
        <w:t>--silent</w:t>
        <w:br/>
        <w:t>--TLOHome DIR</w:t>
        <w:br/>
        <w:t>--search-path STRING</w:t>
        <w:br/>
        <w:t>--compliant</w:t>
        <w:br/>
        <w:t>--as-is-artist-name</w:t>
        <w:br/>
        <w:t>--tag-during-inventory</w:t>
        <w:br/>
        <w:t>--tag-copy-during-inventory</w:t>
        <w:br/>
        <w:t>--tag-copy-destination DIR</w:t>
        <w:br/>
        <w:t>--tag-copy-delete-original (tlo-ggi launcher only; the GUI asks for the destination)</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br/>
        <w:t>--compliant-artist-mode master|as-is (hidden legacy compatibility argument)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Both windows use the same path and available-storage validation. The Tag Copy/Delete Original window must additionally warn that the operation will remove the original material. OK remains unavailable until the path is valid and available-storage information can be read. The selected destination overrides per-path --$copy and --$copy-delete destinations from toBeInventoried.txt. If the Search Path field is empty, TLO must preflight the destination against the combined size of all accessible toBeInventoried.txt roots and show an alert if the destination lacks enough space. Dry run follows the same destination-selection and capacity-validation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be laid out in a three-row, four-column grid. The first row, from left to right, is etreeDB, Compliant, Tag in Place, and Artist in Album Tag. The second row, from left to right, is setlist.fm, Rename Compliantly, Tag Copy, and Convert shn. The third row places As-Is Artist Name in column 2 and Tag Copy/Delete Original in column 3.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v1.2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Review Operation consistency requirement: before Full Inventory, Tag, Process New Shows, or Process Potential Duplicate/Upgrades begins, the same dialog implementation must display all current main-window checkbox values in the same labels and order. Child windows must not rely on stale snapshots taken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Checking either Compliant or Rename Compliantly in the GUI must uncheck the other; checking the other later must toggle the first off. If --compliant and --rename-compliantly are both true on any command line, argument parsing must stop with a readable error. Checking Tag Copy or Tag Copy/Delete Original only selects that mode. After Inventory is started, TLO asks for the destination. Cancelling the destination window cancels that action but leaves the selected checkbox unchanged. The copy/delete window includes the original-removal warning; the ordinary Tag Copy window states that the original is retained. Rename Compliantly remains independent of tagging. As-Is Artist Name defaults off and controls whether matched aliases are output as the Artist DB master or preserved as discovered. Dry run defaults off and is controlled only by the main Inventory window. The Tag window must contain no duplicated main-window option checkboxes and no Dry run checkbox. Add Shows must contain no duplicated main-window option checkboxes and no Dry run checkbox; Check for Duplicates is its only action-specific checkbox. Tag and Add Shows must read the current main-window checkbox values when their action buttons are clicked, including changes made after the child window was opened. Before Full Inventory, Tag, Process New Shows, or Process Potential Duplicate/Upgrades executes, TLO must open the shared Review Operation dialog. Every workflow must report the same complete ordered main-window checkbox-value section: etreeDB, Compliant, Tag in Place, Artist in Album Tag, setlist.fm, Rename Compliantly, Tag Copy, Convert shn, As-Is Artist Name, Tag Copy/Delete Original, and Dry run. Workflow-specific paths, destinations, duplicate checking, performance settings, and warnings are reported separately. Standalone Tag reports the inventory copy-mode values but never copies or moves folders. Add Shows reports Tag Copy and Tag Copy/Delete Original but marks them as not used. The Add Shows window does not display a separate inherited-settings notice; the values are shown only in Review Operation before execution.</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t>Place the visible checkboxes in the required two-row, four-column grid with consistent horizontal and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v1.2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include duplicated main-window option checkboxes. When Tag is clicked, it must read the current main-window values for Compliant, eTreeDB, setlist.fm, Rename Compliantly, Convert shn, Artist in Album Tag, As-Is Artist Name, Dry run, and the three inventory tagging modes. The shared Review Operation dialog must report all those values in the standard order. Standalone Tag always writes directly to the selected Tagging Path: Tag in Place, Tag Copy, and Tag Copy/Delete Original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v1.2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Process New Shows, Process Potential Duplicate/Upgrades, or Tag begins, display a Review Operation window that summarizes the operation, selected path or path source, applicable parsing and lookup settings, rename/conversion/tagging behavior, copy or move behavior when applicable, performance settings for inventory, whether the inherited main-window Dry run setting is selected, and whether original files may be changed.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t>Inventory and updater commands support --debug [BOOL], --silent, --TLOHome DIR, the hidden --myTLO compatibility argument, --search-path STRING, --compliant, --as-is-artist-name,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The tlo-ggi launcher additionally accepts --tag-copy-delete-original to preselect the GUI checkbox; --tag-copy-and-delete DIR supplies its destination and also enables that GUI mode. The hidden legacy --compliant-artist-mode master|as-is argument may remain accepted for compatibility. --compliant and --rename-compliantly are mutually exclusive on the inventory, GUI-launcher, and standalone-tagger command lines; supplying both must produce a readable argument error. tagPath is not an inventory CLI argument. The standalone tlo-tag.py command supports --TLOHome, --compliant, --as-is-artist-name, --etree-lookup, --rename-compliantly, --convert-shn, --no-artist-in-album, --debug [BOOL], --tag-path, and optional positional tagPath. It must not accept --tag-during-inventory, --tag-copy-during-inventory, --tag-copy-destination, --tag-copy-delete-original, or --tag-copy-and-delete, and its help must not display --myTLO.</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 The interprocess rate-limit lock must not be held while a worker sleeps before its own request.</w:t>
      </w:r>
    </w:p>
    <w:p>
      <w:pPr>
        <w:pStyle w:val="ListBullet"/>
        <w:numPr>
          <w:ilvl w:val="0"/>
          <w:numId w:val="1"/>
        </w:numPr>
        <w:rPr/>
      </w:pPr>
      <w:r>
        <w:rPr/>
        <w:t>setlist.fm requests must also be capped at 1,400 calls per inventory run. The cap applies across local inventory worker processes for the same run.</w:t>
      </w:r>
    </w:p>
    <w:p>
      <w:pPr>
        <w:pStyle w:val="Heading2"/>
      </w:pPr>
      <w:r>
        <w:t>Current release baseline</w:t>
      </w:r>
    </w:p>
    <w:p>
      <w:pPr/>
      <w:r>
        <w:t>The current public baseline is v1.2 Build 354. Build-specific history is maintained in CHANGES_v354.txt and old-change-logs.zip; this requirements document states only current behavior.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353 adds a single append-only run settings history shared by Inventory, Tag, and Add Shows.</dc:description>
  <cp:keywords>TLO, requirements, v1.2, Build 353, runSettings.log</cp:keywords>
  <dc:language>en-US</dc:language>
  <cp:lastModifiedBy/>
  <dcterms:modified xsi:type="dcterms:W3CDTF">2026-06-22T22:02:32Z</dcterms:modified>
  <cp:revision>1</cp:revision>
  <dc:subject>TLO v1.2 Build 354 requirements</dc:subject>
  <dc:title>TLO Inventory Requirements v354</dc:title>
</cp:coreProperties>
</file>