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Consolidated Current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rPr/>
      </w:r>
    </w:p>
    <w:p>
      <w:pPr>
        <w:rPr/>
      </w:pPr>
      <w:r>
        <w:t>This document defines the current TLO inventory requirements for search paths, accessibility, startup validation, logging, cleanup, CLI behavior, GUI behavior, metadata extraction, aggregation, and appendices. Current document version: v361 (v1.3 Build 361).</w:t>
      </w:r>
    </w:p>
    <w:p>
      <w:pPr>
        <w:pStyle w:val="Normal"/>
        <w:rPr/>
      </w:pPr>
      <w:r>
        <w:t>Document organization: Sections 1-16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r>
        <w:t xml:space="preserve"> On native Windows, any PowerShell helper used to resolve physical-drive identity must run without creating a visible console or Windows Terminal window.</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v1.3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Heading2"/>
        <w:rPr/>
      </w:pPr>
      <w:r>
        <w:rPr/>
        <w:t>2.12 Distribution Build and Packaging</w:t>
      </w:r>
    </w:p>
    <w:p>
      <w:pPr>
        <w:pStyle w:val="ListBullet"/>
        <w:numPr>
          <w:ilvl w:val="0"/>
          <w:numId w:val="1"/>
        </w:numPr>
        <w:rPr/>
      </w:pPr>
      <w:r>
        <w:rPr/>
        <w:t>Every numbered source update must produce platform-specific end-user release assets in addition to the source bundle and separately delivered current requirements DOCX.</w:t>
      </w:r>
    </w:p>
    <w:p>
      <w:pPr>
        <w:pStyle w:val="ListBullet"/>
        <w:numPr>
          <w:ilvl w:val="0"/>
          <w:numId w:val="1"/>
        </w:numPr>
        <w:rPr/>
      </w:pPr>
      <w:r>
        <w:rP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all five executables directly under apps/Windows with exactly one shared apps/Windows/_internal runtime folder.</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rP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t>Compliant mode applies when --compliant is set. Compliant and Rename Compliantly are mutually exclusive.</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rPr/>
        <w:t>If the Artist DB does not find one unambiguous master, use the artist text found in metadata and record the miss or collision as an observation rather than an unresolved reason.</w:t>
      </w:r>
    </w:p>
    <w:p>
      <w:pPr>
        <w:pStyle w:val="ListBullet"/>
        <w:numPr>
          <w:ilvl w:val="0"/>
          <w:numId w:val="1"/>
        </w:numPr>
        <w:rPr/>
      </w:pPr>
      <w:r>
        <w:rP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rPr/>
        <w:t>For String1 - String2, no Date is assigned and String2 remains the album/show tail. Artist output still follows the run-wide As-Is Artist Name setting.</w:t>
      </w:r>
    </w:p>
    <w:p>
      <w:pPr>
        <w:pStyle w:val="ListBullet"/>
        <w:numPr>
          <w:ilvl w:val="0"/>
          <w:numId w:val="1"/>
        </w:numPr>
        <w:rPr/>
      </w:pPr>
      <w:r>
        <w:rPr/>
        <w:t>If the Artist DB does not find one unambiguous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The main GUI includes an As-Is Artist Name checkbox. It applies to both compliant and non-compliant metadata collection and defaults to unchecked. The CLI accepts --as-is-artist-name.</w:t>
      </w:r>
    </w:p>
    <w:p>
      <w:pPr>
        <w:pStyle w:val="ListBullet"/>
        <w:numPr>
          <w:ilvl w:val="0"/>
          <w:numId w:val="1"/>
        </w:numPr>
        <w:rPr/>
      </w:pPr>
      <w:r>
        <w:rP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rP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rPr/>
        <w:t>9. Online Venue and Location Lookup</w:t>
      </w:r>
    </w:p>
    <w:p>
      <w:pPr>
        <w:pStyle w:val="ListBullet"/>
        <w:numPr>
          <w:ilvl w:val="0"/>
          <w:numId w:val="1"/>
        </w:numPr>
        <w:rPr/>
      </w:pPr>
      <w:r>
        <w:t>This section is the canonical definition of venue/location source precedence, usable-result criteria, lookup dependencies, and non-overwrite behavior.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rPr/>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rP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rP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rPr/>
        <w:t>Lookup dependency requirement: setlist.fm requiring eTreeDB must be enforced by one shared function. Startup, CLI, and GUI surfaces must all use that same rule; Section 9 is the canonical behavior description.</w:t>
      </w:r>
    </w:p>
    <w:p>
      <w:pPr>
        <w:pStyle w:val="Normal"/>
        <w:rPr/>
      </w:pPr>
      <w:r>
        <w:rPr/>
        <w:t>Max Workers supplied-detection requirement: use argparse.SUPPRESS or an equivalent parser sentinel so GUI default display rules can follow Section 2.10 without duplicating parser-specific logic.</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rP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rPr/>
        <w:t>TLOHome resolution for tlo-tag.py must preserve the internal compatibility precedence defined in Section 2.3, while user-facing help documents only --TLOHome and the TLOHome environment variable.</w:t>
      </w:r>
    </w:p>
    <w:p>
      <w:pPr>
        <w:pStyle w:val="Normal"/>
        <w:rPr/>
      </w:pPr>
      <w:r>
        <w:rPr/>
        <w:t>When tagPath is blank, the tagger must use the readyForXfer folder under the resolved TLOHome.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r/>
    </w:p>
    <w:p>
      <w:pPr>
        <w:pStyle w:val="Normal"/>
        <w:rPr/>
      </w:pPr>
      <w:r>
        <w:r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rP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v1.3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rPr/>
        <w:t>Include hidden myTLO compatibility with the same precedence as CLI. It must not appear in help output or as a visible GUI field.</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v1.3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rP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v1.3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w:t>
      </w:r>
      <w:r>
        <w:t xml:space="preserv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w:t>
      </w:r>
      <w:r>
        <w:t xml:space="preserve">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That entry point shall load the categorized suite so the existing CI command continues to execute all tests.</w:t>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Path-alias limitations are specified in Section 2.6 and should be referenced from the user guide rather than restated here.</w:t>
      </w:r>
    </w:p>
    <w:p>
      <w:pPr>
        <w:pStyle w:val="ListBullet"/>
        <w:numPr>
          <w:ilvl w:val="0"/>
          <w:numId w:val="1"/>
        </w:numPr>
        <w:rPr/>
      </w:pPr>
      <w:r>
        <w:t>The TLO Search app is included in the source bundle and in every complete platform distribution. Its detailed search behavior is maintained in tlo-gsi.py and the user manual; this inventory requirements document covers only integration points such as TLOHome, bootlist.csv, setlists, packaging, and update checks.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Duplicate and nested-root handling, including the user-guide warning for symlinks, junctions, mount aliases, and case-equivalent paths, is canonical in Section 2.6.</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GUI Quit behavior is canonical in Section 15. Appendix D records only the ambiguity disposition.</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rP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t>Integer N &gt;= 0. See Section 2.10 for zero/default semantics, extreme-mode display behavior, and volume-group worker caps.</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359 defines size-free same-filesystem Copy/Delete moves and size verification for every real copy.</dc:description>
  <cp:keywords>TLO, Inventory, Requirements, v1.3, Build 359, copy verification, copy-delete</cp:keywords>
  <dc:language>en-US</dc:language>
  <cp:lastModifiedBy/>
  <dcterms:modified xsi:type="dcterms:W3CDTF">2026-08-03T22:32:32Z</dcterms:modified>
  <cp:revision>1</cp:revision>
  <dc:subject>Current consolidated requirements for TLO v1.3 Build 359</dc:subject>
  <dc:title>TLO Inventory Requirements - v1.3 Build 359</dc:title>
</cp:coreProperties>
</file>