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v322 (v1.0 Build 322).</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rPr/>
        <w:t>When more than one accessible search path is queued, scheduling is based on the resolved visible volume label, not on whether the user typed a bracketed prefix. Every path whose resolved visible volume label is blank must be searched serially,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v1.0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V1.0BuildXXX, where XXX is supplied to the build process as an input argument. For source bundle v315, the final end-user distribution filename uses TLO_V1.0Build315.zip.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rPr/>
        <w:t>Populate the TLOHome input box from the environment variable when it exists.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v1.0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v1.0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rPr/>
        <w:t>GUI fields and visible checkboxes/buttons include TLOHome,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rPr/>
        <w:t>TLOHome, 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V1.0Build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v321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p>
      <w:pPr>
        <w:pStyle w:val="Heading1"/>
      </w:pPr>
      <w:r>
        <w:t>v321 Icon Asset Packaging</w:t>
      </w:r>
    </w:p>
    <w:p>
      <w:r>
        <w:t>The source bundle includes prebuilt Windows .ico files and macOS .icns files for the inventory GUI, search GUI, and tagger. Native build scripts pass these platform icon files directly to PyInstaller instead of generating icons during the GitHub build process.</w:t>
      </w:r>
    </w:p>
    <w:p>
      <w:r>
        <w:t>Required icon assets: icons/tlo-inventory-icon.ico, icons/tlo-search-icon.ico, icons/tlo-tag-icon.ico, icons/tlo-inventory-icon.icns, icons/tlo-search-icon.icns, and icons/tlo-tag-icon.icns. PNG source artwork is retained in icons/.</w:t>
      </w:r>
    </w:p>
    <w:p>
      <w:r>
        <w:t>v321 update: Windows icon assets are packaged as DIB/BMP-based multi-image ICO files, and the Windows build verifies that each GUI executable contains the exact packaged custom icon resources rather than only checking for any icon resource.</w:t>
      </w:r>
    </w:p>
    <w:p>
      <w:pPr>
        <w:pStyle w:val="Heading1"/>
      </w:pPr>
      <w:r>
        <w:t>v322 Compliant Parenthetical Preservation</w:t>
      </w:r>
    </w:p>
    <w:p>
      <w:r>
        <w:t>Compliant-mode show names must preserve trailing parenthetical suffixes such as (SBD), (FM), (AUD), (Volume 1), and similar release/source qualifiers after metadata parsing. This applies to String1 Date String2 and String1 - String2 compliant paths, Add Shows incremental processing, full inventory Rename Compliantly, Tag in Place, Tag Copy, and Copy/Delete target preparation. If parsing stores a suffix separately in PARENTHETICALS, the suffix must be appended back to the user-facing show name and compliant destination folder name unless it is already present.</w:t>
      </w:r>
    </w:p>
    <w:p>
      <w:r>
        <w:t>v322 update: Add Shows, full inventory, and tagging now use parenthetical-preserving compliant show-name assembly for destination folder names and generated output, with regression tests covering compliant String1 Date String2, String1 - String2, Add Shows rename, and inventory/tag rename paths.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v1.0 Build 310</cp:keywords>
  <dc:language>en-US</dc:language>
  <cp:lastModifiedBy/>
  <dcterms:modified xsi:type="dcterms:W3CDTF">2026-06-22T22:02:32Z</dcterms:modified>
  <cp:revision>1</cp:revision>
  <dc:subject>TLO Inventory requirements, v1.0 Build 319</dc:subject>
  <dc:title>TLO Inventory Update Requirements - Merged Complete Specification</dc:title>
</cp:coreProperties>
</file>