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t>TLO Inventory Update Requirements - Consolidated Current Specification</w:t>
      </w:r>
    </w:p>
    <w:p>
      <w:pPr>
        <w:pStyle w:val="Normal"/>
        <w:rPr/>
      </w:pPr>
      <w:r>
        <w:t>Purpose: To inventory a collection of bootleg music performances and for each performance identify Artist, Date, Venue, Location (City, State/Region, and Country only when the country is not the United States), and the disk storage location of the performance, collecting setlist files and making that data linked and searchable.</w:t>
      </w:r>
    </w:p>
    <w:p>
      <w:pPr>
        <w:pStyle w:val="Normal"/>
        <w:rPr/>
      </w:pPr>
      <w:r>
        <w:t>Note: List-based logic referenced throughout this document is defined in Appendix E, with schema details in Appendix G. Specific list references are called out beside the relevant requirements. Appendix E sections are: E1 File Types and File-Name Related Lists; E2 Phase 1 Directory Pruning and Wrapper Detection; E3 Setlist Identification, Housekeeping, and Checksum Lists; E4 Date, Month, and Placeholder Pattern Lists; E5 Location, State, Country, and City Lists; E6 Qualifier, 24-bit, and Technical Artist Noise Lists; E7 Artist, Database, and Metadata Support Lists; E8 GUI, Logging, Boolean, and Support Enumerations.</w:t>
      </w:r>
    </w:p>
    <w:p>
      <w:pPr>
        <w:pStyle w:val="Normal"/>
        <w:rPr/>
      </w:pPr>
      <w:r/>
    </w:p>
    <w:p>
      <w:pPr>
        <w:rPr/>
      </w:pPr>
      <w:r>
        <w:t>This document defines the current TLO inventory requirements for search paths, accessibility, startup validation, logging, cleanup, CLI behavior, GUI behavior, metadata extraction, aggregation, and appendices. Current document version: v411 (v1.4 Build 411).</w:t>
      </w:r>
    </w:p>
    <w:p>
      <w:pPr>
        <w:pStyle w:val="Normal"/>
        <w:rPr/>
      </w:pPr>
      <w:r>
        <w:t>Document organization: Sections 1-20 and Appendices A, B, and D-I are the authoritative current requirements. Settled build-by-build notes have been consolidated into the numbered sections and appendices; superseded notes remain in old-change-logs.zip and are not repeated here.</w:t>
      </w:r>
    </w:p>
    <w:p>
      <w:pPr>
        <w:pStyle w:val="Heading1"/>
        <w:rPr/>
      </w:pPr>
      <w:r>
        <w:t>1. Core Output and Processing Requirements</w:t>
      </w:r>
    </w:p>
    <w:p>
      <w:pPr>
        <w:pStyle w:val="Heading2"/>
      </w:pPr>
      <w:r>
        <w:t>1.1 General Metadata and Output Constraints</w:t>
      </w:r>
    </w:p>
    <w:p>
      <w:pPr>
        <w:pStyle w:val="ListBullet"/>
        <w:numPr>
          <w:ilvl w:val="0"/>
          <w:numId w:val="1"/>
        </w:numPr>
        <w:rPr/>
      </w:pPr>
      <w:r>
        <w:t>Do not implement unrequested fallback approaches for metadata identification.</w:t>
      </w:r>
    </w:p>
    <w:p>
      <w:pPr>
        <w:pStyle w:val="ListBullet"/>
        <w:numPr>
          <w:ilvl w:val="0"/>
          <w:numId w:val="1"/>
        </w:numPr>
        <w:rPr/>
      </w:pPr>
      <w:r>
        <w:t>Continue updating the current implementation of phases 2 and 3.</w:t>
      </w:r>
    </w:p>
    <w:p>
      <w:pPr>
        <w:pStyle w:val="ListBullet"/>
        <w:numPr>
          <w:ilvl w:val="0"/>
          <w:numId w:val="1"/>
        </w:numPr>
        <w:rPr/>
      </w:pPr>
      <w:r>
        <w:t>The system must identify Artist, Date, Venue, and Location: City, State/Region, and Country only when the country is not the United States.</w:t>
      </w:r>
    </w:p>
    <w:p>
      <w:pPr>
        <w:pStyle w:val="ListBullet"/>
        <w:numPr>
          <w:ilvl w:val="0"/>
          <w:numId w:val="1"/>
        </w:numPr>
        <w:rPr/>
      </w:pPr>
      <w:r>
        <w:t>Normalize single quotes so that curly quotes, backticks, and other apostrophe variants do not cause search failures.</w:t>
      </w:r>
    </w:p>
    <w:p>
      <w:pPr>
        <w:pStyle w:val="Normal"/>
        <w:rPr/>
      </w:pPr>
      <w:r>
        <w:t>When TLO writes user-facing names or audio metadata values, normalize them to standard printable ASCII. This applies to Show Names, compliant folder names and copy/move targets, generated setlist filename bases, and audio tag Artist, Album, and Title values. Accented Latin characters such as umlauts must be transliterated to plain ASCII equivalents, smart punctuation must be converted to ordinary ASCII punctuation, and remaining non-ASCII/control characters must be removed before writing.</w:t>
      </w:r>
    </w:p>
    <w:p>
      <w:pPr>
        <w:pStyle w:val="Heading2"/>
      </w:pPr>
      <w:r>
        <w:t>1.2 Exported Setlist Filename Rules</w:t>
      </w:r>
    </w:p>
    <w:p>
      <w:pPr>
        <w:pStyle w:val="ListBullet"/>
        <w:numPr>
          <w:ilvl w:val="0"/>
          <w:numId w:val="1"/>
        </w:numPr>
        <w:rPr/>
      </w:pPr>
      <w:r>
        <w:t>When writing setlist .txt files to the setlists directory, name each exported file using the concatenated metadata fields Artist + Date + Venue + Location. Remove filename-unsafe and extra characters from Artist, Venue, Location, Parentheticals, and ordinary fallback Show-name text, but preserve ampersands (&amp;) because they are meaningful in artist, venue, album, and show names. Preserve dash characters in Date, including complete dates and date ranges. If fallback Show-name text is used because discrete metadata fields are incomplete, normalize compact date-like substrings before sanitizing: yyyymmdd becomes yyyy-mm-dd when valid, and compact plausible year ranges such as yyyyyyyy become yyyy-yyyy. Do not remove the dashes introduced by this normalization. If a String1 - String2 record has no parsed Date but String2 itself is date-like, preserve the literal artist/String2 separator and preserve the date dashes inside String2, for example Iris Dement - 1998-10-03 must export as IrisDement-1998-10-03.txt rather than IrisDement-19981003.txt.</w:t>
      </w:r>
    </w:p>
    <w:p>
      <w:pPr>
        <w:pStyle w:val="Normal"/>
        <w:rPr/>
      </w:pPr>
      <w:r>
        <w:t>Do not strip or drop trailing parenthetical qualifiers when generating exported setlist filenames. This rule is universal: if a Show Name, album-style show name, or source main folder includes trailing parentheticals such as (SBD), (FM), (Volume 1), (Vol 2), or (v.3), the sanitized parenthetical text must remain part of the setlist filename base. Same-base Volume/Vol siblings therefore produce distinct setlist filenames based on their own parenthetical suffixes rather than relying on alternate collision suffixes.</w:t>
      </w:r>
    </w:p>
    <w:p>
      <w:pPr>
        <w:pStyle w:val="ListBullet"/>
        <w:numPr>
          <w:ilvl w:val="0"/>
          <w:numId w:val="1"/>
        </w:numPr>
        <w:rPr/>
      </w:pPr>
      <w:r>
        <w:t>Before applying setlist filename sanitization, normalize date-like tokens embedded in the base text. Compact yyyymmdd tokens must become yyyy-mm-dd, compact yyyyyyyy year ranges must become yyyy-yyyy, and separated date tokens using spaces, underscores, periods, or extra dashes must be normalized to yyyy-mm-dd. Separator dashes around the date token are not preserved as extra artist/date punctuation; the date dashes inside the normalized date are preserved. Date-like String2 values in String1 - String2 records must not be duplicated by also extracting the same token as a fallback Date for the output filename.</w:t>
      </w:r>
    </w:p>
    <w:p>
      <w:pPr>
        <w:pStyle w:val="Heading2"/>
      </w:pPr>
      <w:r>
        <w:t>1.3 Generated Setlist Content</w:t>
      </w:r>
    </w:p>
    <w:p>
      <w:pPr>
        <w:pStyle w:val="Normal"/>
        <w:rPr/>
      </w:pPr>
      <w:r>
        <w:t>Generated setlist file when no source setlist exists: If no usable setlist file is found for a show, create a setlist .txt file during postprocess. The output file name must still be based on the normal Artist + Date + Venue + Location setlist naming rule. The generated file contents must put Artist, Date, Venue, and Location at the top, each on its own line and omitting any missing metadata value. After a blank line, include a TRACKS: heading and one numbered row per recognized music file, deriving the row title from the music filename when possible rather than copying the raw filename as the title. Do not copy any original placeholder setlist into TLOHome/setlists when this generated file is used.</w:t>
      </w:r>
    </w:p>
    <w:p>
      <w:pPr>
        <w:pStyle w:val="Normal"/>
        <w:rPr/>
      </w:pPr>
      <w:r>
        <w:t>Legacy placeholder setlist regeneration: If a selected source setlist contains only the text "Folder never contained an info file" case-insensitively, allowing punctuation, whitespace, and normal single-quote variants, treat that source as a marker-only placeholder. The TLOHome/setlists output must be generated from the folder music files using the generated-setlist rule above. If that marker appears along with other usable content, do not discard the content solely because the marker is present; parse and export the file normally.</w:t>
      </w:r>
    </w:p>
    <w:p>
      <w:pPr>
        <w:pStyle w:val="Heading2"/>
      </w:pPr>
      <w:r>
        <w:t>1.4 Timing and Postprocess Reporting</w:t>
      </w:r>
    </w:p>
    <w:p>
      <w:pPr>
        <w:pStyle w:val="ListBullet"/>
        <w:numPr>
          <w:ilvl w:val="0"/>
          <w:numId w:val="1"/>
        </w:numPr>
        <w:rPr/>
      </w:pPr>
      <w:r>
        <w:t>Add an overall elapsed-time timer: initialize at program startup, stop immediately before program exit, and print the elapsed time to the console in the following format:</w:t>
      </w:r>
    </w:p>
    <w:p>
      <w:pPr>
        <w:pStyle w:val="Normal"/>
        <w:rPr/>
      </w:pPr>
      <w:r>
        <w:t>Elapsed time: xx.xx minutes</w:t>
      </w:r>
    </w:p>
    <w:p>
      <w:pPr>
        <w:pStyle w:val="Normal"/>
        <w:rPr/>
      </w:pPr>
      <w:r>
        <w:t>After the inventory worker phase completes, postprocess must print concise status lines to the console with a POSTPROCESS: prefix for each major finalization stage, including reading metadata logs, resolving existing bootlist/volume policy, preparing the setlists directory, exporting setlists/building bootlist rows, writing bootlist.csv, writing unidentifiedShows.txt, and writing summary.log. Setlist export progress must be throttled so large runs do not flood the console with frequent X/Y processed messages; report only coarse progress plus completion.</w:t>
      </w:r>
    </w:p>
    <w:p>
      <w:pPr>
        <w:pStyle w:val="Heading2"/>
      </w:pPr>
      <w:r>
        <w:t>1.5 Parallel Postprocess Assembly</w:t>
      </w:r>
    </w:p>
    <w:p>
      <w:pPr>
        <w:pStyle w:val="Normal"/>
        <w:rPr/>
      </w:pPr>
      <w:r>
        <w:t>When postprocess exports setlists and builds bootlist rows, it may split the work into parallel pieces according to the selected performance mode. The split must group records by normalized/truncated setlist filename base so duplicate shows and alternate setlist files cannot span worker boundaries. Each parallel piece may produce bootlist rows and setlist files for its filename-base group, but the final bootlist.csv write must remain single-threaded after all pieces are stitched, sorted, and combined with any kept existing rows. The number of filename-base groups is not the number of executor threads: postprocess must bound the ThreadPoolExecutor worker count, honor a positive --max-workers/Max Workers value, and never attempt to create one operating-system thread per filename group.</w:t>
      </w:r>
    </w:p>
    <w:p>
      <w:pPr>
        <w:pStyle w:val="Heading1"/>
        <w:rPr/>
      </w:pPr>
      <w:r>
        <w:t>2. Search Path, Accessibility, and Execution Requirements</w:t>
      </w:r>
    </w:p>
    <w:p>
      <w:pPr>
        <w:pStyle w:val="Heading2"/>
        <w:rPr/>
      </w:pPr>
      <w:r>
        <w:t>2.1 Sources of Search Paths</w:t>
      </w:r>
    </w:p>
    <w:p>
      <w:pPr>
        <w:pStyle w:val="ListBullet"/>
        <w:numPr>
          <w:ilvl w:val="0"/>
          <w:numId w:val="1"/>
        </w:numPr>
        <w:rPr/>
      </w:pPr>
      <w:r>
        <w:t>Search paths may come from the command line using --search-path STRING.</w:t>
      </w:r>
    </w:p>
    <w:p>
      <w:pPr>
        <w:pStyle w:val="ListBullet"/>
        <w:numPr>
          <w:ilvl w:val="0"/>
          <w:numId w:val="1"/>
        </w:numPr>
        <w:rPr/>
      </w:pPr>
      <w:r>
        <w:t>Search paths may also come from TLOHome/toBeInventoried.txt when --search-path is not supplied.</w:t>
      </w:r>
    </w:p>
    <w:p>
      <w:pPr>
        <w:pStyle w:val="Normal"/>
        <w:rPr/>
      </w:pPr>
      <w:r>
        <w:t>Before inventory workers start, identify each search root by visible volume name plus the path below that volume. The physical drive letter, such as E: or F:, and WSL mount prefix, such as /mnt/e or /mnt/f, are not part of the stored inventory identity. Existing groups*.log files may contain more than one top-of-file SEARCH_PATH line for the same token; startup must read every header SEARCH_PATH value, falling back to legacy groupsLog header text only when SEARCH_PATH is absent.</w:t>
      </w:r>
    </w:p>
    <w:p>
      <w:pPr>
        <w:pStyle w:val="Normal"/>
        <w:rPr/>
      </w:pPr>
      <w:r>
        <w:t>For existing-log comparison and bootlist replacement, strip any Windows drive letter or WSL mount prefix from both the queued search path and the stored log/header/bootlist path before testing exact, parent, child, or subtree relationships. The visible volume name is compared separately. bootlist.csv and top-of-log SEARCH_PATH headers must write the rootless path; detailed structured records such as MAIN_DIR_PATH may still preserve the physical path used by the scan for diagnostics and file access.</w:t>
      </w:r>
    </w:p>
    <w:p>
      <w:pPr>
        <w:pStyle w:val="Normal"/>
        <w:rPr/>
      </w:pPr>
      <w:r>
        <w:t>For a nonblank visible volume label, same-volume path handling is deterministic and does not ask the user for Skip/Re-inventory. If the new path is the same as an existing stored path, replace the related token logs with the new inventory. If the new path is a parent of an existing stored path, replace the existing log contents for that volume/token with the new parent inventory. If the new path is a child of an existing stored path, prune existing log entries under that child path and append the new child inventory to the existing token. If the new path has no overlap with the existing stored paths for that volume, append the rootless path to the log header and append the new inventory entries to that volume token.</w:t>
      </w:r>
    </w:p>
    <w:p>
      <w:pPr>
        <w:pStyle w:val="Normal"/>
        <w:rPr/>
      </w:pPr>
      <w:r>
        <w:t>A blank visible volume label is an append-only special case. There is only one blank-volume log set. When the visible volume label is blank, log SEARCH_PATH headers must be written as [] with no path. Blank-label inventories never trigger skip, overwrite, or re-inventory decisions; every blank-label run appends to the blank-volume log set. The user is responsible for tracking blank-label drives and cleaning duplicates if the same content is scanned more than once.</w:t>
      </w:r>
    </w:p>
    <w:p>
      <w:pPr>
        <w:pStyle w:val="Normal"/>
        <w:rPr/>
      </w:pPr>
      <w:r>
        <w:t>When more than one accessible search path is queued, scheduling is based on the resolved visible volume label and a best-effort runtime physical-drive identity. Labeled volumes are processed before blank-label volumes. Labeled volumes on different physical drives may run in parallel; labeled volumes detected on the same physical hard drive must be placed in one serial worker group to avoid competing I/O. Every path whose resolved visible volume label is blank must be searched serially after labeled-volume work completes, sorted by drive letter or WSL /mnt/&lt;drive&gt; letter. Paths with nonblank visible volume labels are eligible for parallel processing according to Performance Mode and Max Workers. Different named volumes may run concurrently. Multiple roots that resolve to the same named volume must remain serial within one volume worker so they cannot write the same tokenized log files concurrently. On native Windows, any PowerShell helper used to resolve physical-drive identity must run without creating a visible console or Windows Terminal window.</w:t>
      </w:r>
    </w:p>
    <w:p>
      <w:pPr>
        <w:pStyle w:val="Normal"/>
        <w:rPr/>
      </w:pPr>
      <w:r>
        <w:t>When multiple queued search paths share the same nonblank visible volume and do not overlap, the dispatcher must assign or reuse one token for that visible volume and append each non-overlapping root to the token header. A mixed run that replaces one same-volume subtree and adds another same-volume non-overlapping path must preserve unrelated existing bootlist rows and must not fail volume-action validation.</w:t>
      </w:r>
    </w:p>
    <w:p>
      <w:pPr>
        <w:pStyle w:val="ListBullet"/>
        <w:numPr>
          <w:ilvl w:val="0"/>
          <w:numId w:val="1"/>
        </w:numPr>
        <w:rPr/>
      </w:pPr>
      <w:r>
        <w:t>If --search-path is supplied, ignore toBeInventoried.txt and process only the supplied search path.</w:t>
      </w:r>
    </w:p>
    <w:p>
      <w:pPr>
        <w:pStyle w:val="ListBullet"/>
        <w:numPr>
          <w:ilvl w:val="0"/>
          <w:numId w:val="1"/>
        </w:numPr>
        <w:rPr/>
      </w:pPr>
      <w:r>
        <w:t>On native Windows only, the GUI Search Path text box accepts a folder dragged from File Explorer. Dropping a folder replaces the Search Path field with that folder path. Dropping a file may use the containing folder.</w:t>
      </w:r>
    </w:p>
    <w:p>
      <w:pPr>
        <w:pStyle w:val="ListBullet"/>
        <w:numPr>
          <w:ilvl w:val="0"/>
          <w:numId w:val="1"/>
        </w:numPr>
        <w:rPr/>
      </w:pPr>
      <w:r>
        <w:t>Under WSL and regular Linux, Search Path drag/drop is not an available feature. The GUI must not register or advertise a file-drop target on WSL or regular Linux; users should type/paste Search Path, use --search-path, or use TLOHome/toBeInventoried.txt.</w:t>
      </w:r>
    </w:p>
    <w:p>
      <w:pPr>
        <w:pStyle w:val="ListBullet"/>
        <w:numPr>
          <w:ilvl w:val="0"/>
          <w:numId w:val="1"/>
        </w:numPr>
        <w:rPr/>
      </w:pPr>
      <w:r>
        <w:t>Blank lines and lines whose first non-whitespace character is # are ignored in toBeInventoried.txt. Lines beginning with REM remain accepted as comments. Each remaining line may include a search path and an associated slam value according to the existing line format.</w:t>
      </w:r>
    </w:p>
    <w:p>
      <w:pPr>
        <w:pStyle w:val="ListBullet"/>
        <w:numPr>
          <w:ilvl w:val="0"/>
          <w:numId w:val="1"/>
        </w:numPr>
        <w:rPr/>
      </w:pPr>
      <w:r>
        <w:t>Each toBeInventoried.txt line may also include optional per-path directives after the path: --$slam ARTIST_NAME, --$copy DESTINATION, and --$copy-delete DESTINATION. Legacy -$slam remains accepted. Directive order after the path does not matter, but --$copy and --$copy-delete are mutually exclusive on one line.</w:t>
      </w:r>
    </w:p>
    <w:p>
      <w:pPr>
        <w:pStyle w:val="ListBullet"/>
        <w:numPr>
          <w:ilvl w:val="0"/>
          <w:numId w:val="1"/>
        </w:numPr>
        <w:rPr/>
      </w:pPr>
      <w:r>
        <w:t>When --$copy or --$copy-delete is used in toBeInventoried.txt, the destination must be an existing fully qualified directory. --$copy activates inventory-time Tag Copy for that path only and keeps inventory ownership with the original source tree. --$copy-delete activates Tag Copy/Delete Original for that path only. TLO must complete show grouping and metadata extraction from the original source tree before copying or moving the identified show folder. After transfer, tagging and final inventory output use the copied/moved destination tree, unless the main-window Tag Copy/Delete Original checkbox is active; in that case, the destination selected in its warning dialog is the global override.</w:t>
      </w:r>
    </w:p>
    <w:p>
      <w:pPr>
        <w:pStyle w:val="ListBullet"/>
        <w:numPr>
          <w:ilvl w:val="0"/>
          <w:numId w:val="1"/>
        </w:numPr>
        <w:rPr/>
      </w:pPr>
      <w:r>
        <w:t>Each search path string may optionally begin with a bracketed visible volume prefix immediately before the fully defined physical path. Accepted forms include [Volume]E:\path, [Volume]E:, [Volume]/mnt/e/path, [Volume]/mnt/e, and [Volume] /mnt/e/path. The bracketed value is the visible volume name and must be stored/logged without the brackets.</w:t>
      </w:r>
    </w:p>
    <w:p>
      <w:pPr>
        <w:pStyle w:val="ListBullet"/>
        <w:numPr>
          <w:ilvl w:val="0"/>
          <w:numId w:val="1"/>
        </w:numPr>
        <w:rPr/>
      </w:pPr>
      <w:r>
        <w:t>If no bracketed visible volume prefix is supplied, resolve the operating-system volume label for the physical search root and use that label as the visible volume name for search-path comparison and top-of-log writing. If the operating system reports no volume label, or reports a default non-identifying label of New Volume or Local Disk, the visible volume name remains the empty string, log headers are written as [] with no path, and the run uses the blank-label append-only policy. An explicit bracketed prefix, including an explicit [] blank prefix, is not replaced by the operating-system volume label; instead, if the operating-system volume label can be resolved, the explicit prefix must match the mounted drive label or the path is rejected before inventory processing starts. Explicit bracketed labels of [New Volume] or [Local Disk] are treated as blank visible volume labels.</w:t>
      </w:r>
    </w:p>
    <w:p>
      <w:pPr>
        <w:pStyle w:val="ListBullet"/>
        <w:numPr>
          <w:ilvl w:val="0"/>
          <w:numId w:val="1"/>
        </w:numPr>
        <w:rPr/>
      </w:pPr>
      <w:r>
        <w:t>Both quoted and unquoted path strings must be supported where the shell/platform allows them.</w:t>
      </w:r>
    </w:p>
    <w:p>
      <w:pPr>
        <w:pStyle w:val="ListBullet"/>
        <w:numPr>
          <w:ilvl w:val="0"/>
          <w:numId w:val="1"/>
        </w:numPr>
        <w:rPr/>
      </w:pPr>
      <w:r>
        <w:t>Windows drive-rooted search paths must preserve the complete user-supplied subtree when normalized for WSL/Linux, including comma-bearing artist folders such as D:\B-J\D\Dudek, Les. A non-root Windows path must never be reduced to only /mnt/&lt;drive&gt; during full inventory path normalization.</w:t>
      </w:r>
    </w:p>
    <w:p>
      <w:pPr>
        <w:pStyle w:val="Heading2"/>
        <w:rPr/>
      </w:pPr>
      <w:r>
        <w:t>2.2 Slam Association</w:t>
      </w:r>
    </w:p>
    <w:p>
      <w:pPr>
        <w:pStyle w:val="ListBullet"/>
        <w:numPr>
          <w:ilvl w:val="0"/>
          <w:numId w:val="1"/>
        </w:numPr>
        <w:rPr/>
      </w:pPr>
      <w:r>
        <w:t>A slam value may be associated with a search path from toBeInventoried.txt.</w:t>
      </w:r>
    </w:p>
    <w:p>
      <w:pPr>
        <w:pStyle w:val="ListBullet"/>
        <w:numPr>
          <w:ilvl w:val="0"/>
          <w:numId w:val="1"/>
        </w:numPr>
        <w:rPr/>
      </w:pPr>
      <w:r>
        <w:t>A slam value may also be supplied from the command line using --$slam STRING, or legacy -$slam STRING, when --search-path STRING is supplied.</w:t>
      </w:r>
    </w:p>
    <w:p>
      <w:pPr>
        <w:pStyle w:val="ListBullet"/>
        <w:numPr>
          <w:ilvl w:val="0"/>
          <w:numId w:val="1"/>
        </w:numPr>
        <w:rPr/>
      </w:pPr>
      <w:r>
        <w:t>--$slam/-$slam must not be accepted by itself. If supplied without --search-path, report an error and exit.</w:t>
      </w:r>
    </w:p>
    <w:p>
      <w:pPr>
        <w:pStyle w:val="ListBullet"/>
        <w:numPr>
          <w:ilvl w:val="0"/>
          <w:numId w:val="1"/>
        </w:numPr>
        <w:rPr/>
      </w:pPr>
      <w:r>
        <w:t>If slam is non-empty for a search path, use slam as the artist for all groups under that path and skip artist identification for those groups.</w:t>
      </w:r>
    </w:p>
    <w:p>
      <w:pPr>
        <w:pStyle w:val="ListBullet"/>
        <w:numPr>
          <w:ilvl w:val="0"/>
          <w:numId w:val="1"/>
        </w:numPr>
        <w:rPr/>
      </w:pPr>
      <w:r>
        <w:t>Slam values are treated as supplied artist names for metadata purposes, then pass through the same downstream artist-name normalization and setlist-filename sanitization used for other artist names. Do not use filename-unsafe characters from slam values verbatim in generated setlist filenames.</w:t>
      </w:r>
    </w:p>
    <w:p>
      <w:pPr>
        <w:pStyle w:val="Heading2"/>
        <w:rPr/>
      </w:pPr>
      <w:r>
        <w:t>2.3 TLOHome Resolution</w:t>
      </w:r>
    </w:p>
    <w:p>
      <w:pPr>
        <w:pStyle w:val="ListBullet"/>
        <w:numPr>
          <w:ilvl w:val="0"/>
          <w:numId w:val="1"/>
        </w:numPr>
        <w:rPr/>
      </w:pPr>
      <w:r>
        <w:t>Resolve TLOHome before loading input files or databases.</w:t>
      </w:r>
    </w:p>
    <w:p>
      <w:pPr>
        <w:pStyle w:val="ListBullet"/>
        <w:numPr>
          <w:ilvl w:val="0"/>
          <w:numId w:val="1"/>
        </w:numPr>
        <w:rPr/>
      </w:pPr>
      <w:r>
        <w:t>TLOHome precedence must be: --myTLO, then --TLOHome, then the TLOHome environment variable.</w:t>
      </w:r>
    </w:p>
    <w:p>
      <w:pPr>
        <w:pStyle w:val="ListBullet"/>
        <w:numPr>
          <w:ilvl w:val="0"/>
          <w:numId w:val="1"/>
        </w:numPr>
        <w:rPr/>
      </w:pPr>
      <w:r>
        <w:t>--myTLO is undocumented and must override --TLOHome if both are supplied. This compatibility argument is accepted by tlo-gi.py, tlo-ggi.py, and tlo-research.py, but must not appear as a visible GUI input field or ordinary user-facing help option.</w:t>
      </w:r>
    </w:p>
    <w:p>
      <w:pPr>
        <w:pStyle w:val="ListBullet"/>
        <w:numPr>
          <w:ilvl w:val="0"/>
          <w:numId w:val="1"/>
        </w:numPr>
        <w:rPr/>
      </w:pPr>
      <w:r>
        <w:t>If no TLOHome source is available, present a readable startup error.</w:t>
      </w:r>
    </w:p>
    <w:p>
      <w:pPr>
        <w:pStyle w:val="Heading2"/>
        <w:rPr/>
      </w:pPr>
      <w:r>
        <w:t>2.4 Path Normalization</w:t>
      </w:r>
    </w:p>
    <w:p>
      <w:pPr>
        <w:pStyle w:val="ListBullet"/>
        <w:numPr>
          <w:ilvl w:val="0"/>
          <w:numId w:val="1"/>
        </w:numPr>
        <w:rPr/>
      </w:pPr>
      <w:r>
        <w:t>Normalize search paths consistently across Linux, Windows, WSL, and macOS.</w:t>
      </w:r>
    </w:p>
    <w:p>
      <w:pPr>
        <w:pStyle w:val="ListBullet"/>
        <w:numPr>
          <w:ilvl w:val="0"/>
          <w:numId w:val="1"/>
        </w:numPr>
        <w:rPr/>
      </w:pPr>
      <w:r>
        <w:t>Windows paths such as E:\B-J\G must be accepted on Windows.</w:t>
      </w:r>
    </w:p>
    <w:p>
      <w:pPr>
        <w:pStyle w:val="ListBullet"/>
        <w:numPr>
          <w:ilvl w:val="0"/>
          <w:numId w:val="1"/>
        </w:numPr>
        <w:rPr/>
      </w:pPr>
      <w:r>
        <w:t>WSL mount paths such as /mnt/e/B-J/G must be accepted on WSL/Linux.</w:t>
      </w:r>
    </w:p>
    <w:p>
      <w:pPr>
        <w:pStyle w:val="ListBullet"/>
        <w:numPr>
          <w:ilvl w:val="0"/>
          <w:numId w:val="1"/>
        </w:numPr>
        <w:rPr/>
      </w:pPr>
      <w:r>
        <w:t>When a Windows drive path such as E:\B-J\G and a WSL/Linux mount path such as /mnt/e/B-J/G refer to the same physical root on the current platform, normalize the physical path for scanning, but keep the bracketed visible volume name unchanged for log output and comparison.</w:t>
      </w:r>
    </w:p>
    <w:p>
      <w:pPr>
        <w:pStyle w:val="ListBullet"/>
        <w:numPr>
          <w:ilvl w:val="0"/>
          <w:numId w:val="1"/>
        </w:numPr>
        <w:rPr/>
      </w:pPr>
      <w:r>
        <w:t>Do not rely on brittle WSL mount assumptions; prefer checking whether the normalized path can be listed/read.</w:t>
      </w:r>
    </w:p>
    <w:p>
      <w:pPr>
        <w:pStyle w:val="Heading2"/>
        <w:rPr/>
      </w:pPr>
      <w:r>
        <w:t>2.5 Accessibility Checks</w:t>
      </w:r>
    </w:p>
    <w:p>
      <w:pPr>
        <w:pStyle w:val="ListBullet"/>
        <w:numPr>
          <w:ilvl w:val="0"/>
          <w:numId w:val="1"/>
        </w:numPr>
        <w:rPr/>
      </w:pPr>
      <w:r>
        <w:t>Before path scanning and path-worker dispatch, check every search root for accessibility.</w:t>
      </w:r>
    </w:p>
    <w:p>
      <w:pPr>
        <w:pStyle w:val="ListBullet"/>
        <w:numPr>
          <w:ilvl w:val="0"/>
          <w:numId w:val="1"/>
        </w:numPr>
        <w:rPr/>
      </w:pPr>
      <w:r>
        <w:t>For each inaccessible root, record and report the original path, normalized path, and reason.</w:t>
      </w:r>
    </w:p>
    <w:p>
      <w:pPr>
        <w:pStyle w:val="ListBullet"/>
        <w:numPr>
          <w:ilvl w:val="0"/>
          <w:numId w:val="1"/>
        </w:numPr>
        <w:rPr/>
      </w:pPr>
      <w:r>
        <w:t>Reasons should include at least: path does not exist, path is empty, or path is not readable.</w:t>
      </w:r>
    </w:p>
    <w:p>
      <w:pPr>
        <w:pStyle w:val="ListBullet"/>
        <w:numPr>
          <w:ilvl w:val="0"/>
          <w:numId w:val="1"/>
        </w:numPr>
        <w:rPr/>
      </w:pPr>
      <w:r>
        <w:t>Accessible roots proceed to inventory; inaccessible roots are reported and skipped unless all roots are inaccessible.</w:t>
      </w:r>
    </w:p>
    <w:p>
      <w:pPr>
        <w:pStyle w:val="ListBullet"/>
        <w:numPr>
          <w:ilvl w:val="0"/>
          <w:numId w:val="1"/>
        </w:numPr>
        <w:rPr/>
      </w:pPr>
      <w:r>
        <w:t>Print the root-preparation summary after accessibility checks.</w:t>
      </w:r>
    </w:p>
    <w:p>
      <w:pPr>
        <w:pStyle w:val="Normal"/>
        <w:rPr/>
      </w:pPr>
      <w:r>
        <w:t>Inventory roots loaded: X accessible, Y inaccessible</w:t>
      </w:r>
    </w:p>
    <w:p>
      <w:pPr>
        <w:pStyle w:val="Normal"/>
        <w:rPr/>
      </w:pPr>
      <w:r>
        <w:t>Inaccessible inventory roots: N</w:t>
      </w:r>
    </w:p>
    <w:p>
      <w:pPr>
        <w:pStyle w:val="Normal"/>
        <w:rPr/>
      </w:pPr>
      <w:r>
        <w:t xml:space="preserve">  ORIGINAL_PATH</w:t>
      </w:r>
    </w:p>
    <w:p>
      <w:pPr>
        <w:pStyle w:val="Normal"/>
        <w:rPr/>
      </w:pPr>
      <w:r>
        <w:t xml:space="preserve">    normalized: NORMALIZED_PATH</w:t>
      </w:r>
    </w:p>
    <w:p>
      <w:pPr>
        <w:pStyle w:val="Normal"/>
        <w:rPr/>
      </w:pPr>
      <w:r>
        <w:t xml:space="preserve">    reason: REASON</w:t>
      </w:r>
    </w:p>
    <w:p>
      <w:pPr>
        <w:pStyle w:val="Heading2"/>
        <w:rPr/>
      </w:pPr>
      <w:r>
        <w:t>2.6 Duplicate and Overlap Checks</w:t>
      </w:r>
    </w:p>
    <w:p>
      <w:pPr>
        <w:pStyle w:val="ListBullet"/>
        <w:numPr>
          <w:ilvl w:val="0"/>
          <w:numId w:val="1"/>
        </w:numPr>
        <w:rPr/>
      </w:pPr>
      <w:r>
        <w:t>Check all search roots for duplicate paths after normalization.</w:t>
      </w:r>
    </w:p>
    <w:p>
      <w:pPr>
        <w:pStyle w:val="ListBullet"/>
        <w:numPr>
          <w:ilvl w:val="0"/>
          <w:numId w:val="1"/>
        </w:numPr>
        <w:rPr/>
      </w:pPr>
      <w:r>
        <w:t>Reject overlapping search roots before scanning. Examples: /mnt/e/g and /mnt/e/g/more; E:\G and E:\G\More.</w:t>
      </w:r>
    </w:p>
    <w:p>
      <w:pPr>
        <w:pStyle w:val="ListBullet"/>
        <w:numPr>
          <w:ilvl w:val="0"/>
          <w:numId w:val="1"/>
        </w:numPr>
        <w:rPr/>
      </w:pPr>
      <w:r>
        <w:t>If overlapping roots are detected, report a readable error and do not start scanning.</w:t>
      </w:r>
    </w:p>
    <w:p>
      <w:pPr>
        <w:pStyle w:val="ListBullet"/>
        <w:numPr>
          <w:ilvl w:val="0"/>
          <w:numId w:val="1"/>
        </w:numPr>
        <w:rPr/>
      </w:pPr>
      <w:r>
        <w:t>Perform uniqueness and overlap checks before worker dispatch so collisions are detected early.</w:t>
      </w:r>
    </w:p>
    <w:p>
      <w:pPr>
        <w:pStyle w:val="ListBullet"/>
        <w:numPr>
          <w:ilvl w:val="0"/>
          <w:numId w:val="1"/>
        </w:numPr>
        <w:rPr/>
      </w:pPr>
      <w:r>
        <w:t>The future user guide must warn that OS-specific aliases, symlinks, junctions, mount aliases, or case-sensitive/case-insensitive equivalents may not all be detected as overlaps and can produce duplicate inventory entries if supplied as separate roots.</w:t>
      </w:r>
    </w:p>
    <w:p>
      <w:pPr>
        <w:pStyle w:val="Heading2"/>
        <w:rPr/>
      </w:pPr>
      <w:r>
        <w:t>2.7 Startup and Queue Reporting</w:t>
      </w:r>
    </w:p>
    <w:p>
      <w:pPr>
        <w:pStyle w:val="ListBullet"/>
        <w:numPr>
          <w:ilvl w:val="0"/>
          <w:numId w:val="1"/>
        </w:numPr>
        <w:rPr/>
      </w:pPr>
      <w:r>
        <w:t>Print a startup banner that includes the executable name, application version, and build number.</w:t>
      </w:r>
    </w:p>
    <w:p>
      <w:pPr>
        <w:pStyle w:val="ListBullet"/>
        <w:numPr>
          <w:ilvl w:val="0"/>
          <w:numId w:val="1"/>
        </w:numPr>
        <w:rPr/>
      </w:pPr>
      <w:r>
        <w:t>The startup banner build number comes from constants defined in the source package, not from the script filename or a command-line argument. The release change-description text must not be appended to the startup banner, including when debug is enabled.</w:t>
      </w:r>
    </w:p>
    <w:p>
      <w:pPr>
        <w:pStyle w:val="ListBullet"/>
        <w:numPr>
          <w:ilvl w:val="0"/>
          <w:numId w:val="1"/>
        </w:numPr>
        <w:rPr/>
      </w:pPr>
      <w:r>
        <w:t>Print Starting inventory after roots are loaded and validated.</w:t>
      </w:r>
    </w:p>
    <w:p>
      <w:pPr>
        <w:pStyle w:val="ListBullet"/>
        <w:numPr>
          <w:ilvl w:val="0"/>
          <w:numId w:val="1"/>
        </w:numPr>
        <w:rPr/>
      </w:pPr>
      <w:r>
        <w:t>When multiple accessible search paths exist, use the performance-controlled worker count for volume work groups. All blank-volume paths form one serial work group, sorted by drive letter or WSL /mnt/&lt;drive&gt; letter. Blank-volume work must start only after all labeled-volume work has completed; blank-volume roots do not run concurrently with labeled-volume roots. Each distinct nonblank visible volume label forms a visible-volume group, and roots sharing that label run serially inside the same worker. Before dispatch, named visible-volume groups that are detected on the same physical hard drive are combined into one serial physical-drive worker group. Named visible-volume groups on different physical drives may run in parallel. Parallel workers are used only when the effective worker count and named physical-drive work-group count are both greater than one.</w:t>
      </w:r>
    </w:p>
    <w:p>
      <w:pPr>
        <w:pStyle w:val="ListBullet"/>
        <w:numPr>
          <w:ilvl w:val="0"/>
          <w:numId w:val="1"/>
        </w:numPr>
        <w:rPr/>
      </w:pPr>
      <w:r>
        <w:t>Print a queued line for each search path, including the slam value even if blank.</w:t>
      </w:r>
    </w:p>
    <w:p>
      <w:pPr>
        <w:pStyle w:val="Normal"/>
        <w:rPr/>
      </w:pPr>
      <w:r>
        <w:t>Starting tlo-gi v1.4 Build XX</w:t>
      </w:r>
    </w:p>
    <w:p>
      <w:pPr>
        <w:pStyle w:val="Normal"/>
        <w:rPr/>
      </w:pPr>
      <w:r>
        <w:t>Starting inventory</w:t>
      </w:r>
    </w:p>
    <w:p>
      <w:pPr>
        <w:pStyle w:val="Normal"/>
        <w:rPr/>
      </w:pPr>
      <w:r>
        <w:t>Inventory roots loaded: X accessible, Y inaccessible</w:t>
      </w:r>
    </w:p>
    <w:p>
      <w:pPr>
        <w:pStyle w:val="Normal"/>
        <w:rPr/>
      </w:pPr>
      <w:r>
        <w:t>Parallel volume-group search enabled: N worker(s) for V named volume(s), B blank-volume group(s), and P search path(s)</w:t>
      </w:r>
    </w:p>
    <w:p>
      <w:pPr>
        <w:pStyle w:val="Normal"/>
        <w:rPr/>
      </w:pPr>
      <w:r>
        <w:t>Queued search path I: PATH | slam=VALUE</w:t>
      </w:r>
    </w:p>
    <w:p>
      <w:pPr>
        <w:pStyle w:val="Normal"/>
        <w:rPr/>
      </w:pPr>
      <w:r>
        <w:t>Queued search path I: PATH | slam=</w:t>
      </w:r>
    </w:p>
    <w:p>
      <w:pPr>
        <w:pStyle w:val="Normal"/>
        <w:rPr/>
      </w:pPr>
      <w:r>
        <w:t>Inventory performance mode: MODE | max workers: N</w:t>
      </w:r>
    </w:p>
    <w:p>
      <w:pPr>
        <w:pStyle w:val="Heading2"/>
        <w:rPr/>
      </w:pPr>
      <w:r>
        <w:t>2.8 Worker Completion Reporting</w:t>
      </w:r>
    </w:p>
    <w:p>
      <w:pPr>
        <w:pStyle w:val="ListBullet"/>
        <w:numPr>
          <w:ilvl w:val="0"/>
          <w:numId w:val="1"/>
        </w:numPr>
        <w:rPr/>
      </w:pPr>
      <w:r>
        <w:t>Each search path must emit the following status and completion lines exactly, except for substituted values.</w:t>
      </w:r>
    </w:p>
    <w:p>
      <w:pPr>
        <w:pStyle w:val="ListBullet"/>
        <w:numPr>
          <w:ilvl w:val="0"/>
          <w:numId w:val="1"/>
        </w:numPr>
        <w:rPr/>
      </w:pPr>
      <w:r>
        <w:t>The lines are suppressed when --silent is set.</w:t>
      </w:r>
    </w:p>
    <w:p>
      <w:pPr>
        <w:pStyle w:val="Normal"/>
        <w:rPr/>
      </w:pPr>
      <w:r>
        <w:t>Stage 2 starting: PATH</w:t>
      </w:r>
    </w:p>
    <w:p>
      <w:pPr>
        <w:pStyle w:val="Normal"/>
        <w:rPr/>
      </w:pPr>
      <w:r>
        <w:t>Stage 2 complete: PATH | show groups prepared: N</w:t>
      </w:r>
    </w:p>
    <w:p>
      <w:pPr>
        <w:pStyle w:val="Normal"/>
        <w:rPr/>
      </w:pPr>
      <w:r>
        <w:t>Stage 3 starting: PATH</w:t>
      </w:r>
    </w:p>
    <w:p>
      <w:pPr>
        <w:pStyle w:val="Normal"/>
        <w:rPr/>
      </w:pPr>
      <w:r>
        <w:t>Stage 3 complete: PATH | show groups processed: N</w:t>
      </w:r>
    </w:p>
    <w:p>
      <w:pPr>
        <w:pStyle w:val="Normal"/>
        <w:rPr/>
      </w:pPr>
      <w:r>
        <w:t>Search path complete: PATH | directories identified: N | show groups processed: M</w:t>
      </w:r>
    </w:p>
    <w:p>
      <w:pPr>
        <w:pStyle w:val="Heading2"/>
        <w:rPr/>
      </w:pPr>
      <w:r>
        <w:t>2.9 Cross-Platform Execution</w:t>
      </w:r>
    </w:p>
    <w:p>
      <w:pPr>
        <w:pStyle w:val="ListBullet"/>
        <w:numPr>
          <w:ilvl w:val="0"/>
          <w:numId w:val="1"/>
        </w:numPr>
        <w:rPr/>
      </w:pPr>
      <w:r>
        <w:t>The program must run on Linux, Windows, WSL, and macOS.</w:t>
      </w:r>
    </w:p>
    <w:p>
      <w:pPr>
        <w:pStyle w:val="ListBullet"/>
        <w:numPr>
          <w:ilvl w:val="0"/>
          <w:numId w:val="1"/>
        </w:numPr>
        <w:rPr/>
      </w:pPr>
      <w:r>
        <w:t>Frozen Windows executables must support multiprocessing startup without argparse rejecting bootstrap arguments and without leaving active worker processes running after GUI cancellation.</w:t>
      </w:r>
    </w:p>
    <w:p>
      <w:pPr>
        <w:pStyle w:val="ListBullet"/>
        <w:numPr>
          <w:ilvl w:val="0"/>
          <w:numId w:val="1"/>
        </w:numPr>
        <w:rPr/>
      </w:pPr>
      <w:r>
        <w:t>Both tlo-gi.py and tlo-ggi.py must call multiprocessing.freeze_support() before command-line parsing, Tkinter initialization, inventory startup, or process-pool creation.</w:t>
      </w:r>
    </w:p>
    <w:p>
      <w:pPr>
        <w:pStyle w:val="ListBullet"/>
        <w:numPr>
          <w:ilvl w:val="0"/>
          <w:numId w:val="1"/>
        </w:numPr>
        <w:rPr/>
      </w:pPr>
      <w:r>
        <w:t>Frozen Windows child-worker bootstrap arguments must be consumed by multiprocessing startup and must not be parsed as normal TLO command-line arguments.</w:t>
      </w:r>
    </w:p>
    <w:p>
      <w:pPr>
        <w:pStyle w:val="ListBullet"/>
        <w:numPr>
          <w:ilvl w:val="0"/>
          <w:numId w:val="1"/>
        </w:numPr>
        <w:rPr/>
      </w:pPr>
      <w:r>
        <w:t>A frozen tlo-ggi.exe must not open duplicate GUI windows in multiprocessing child workers.</w:t>
      </w:r>
    </w:p>
    <w:p>
      <w:pPr>
        <w:pStyle w:val="ListBullet"/>
        <w:numPr>
          <w:ilvl w:val="0"/>
          <w:numId w:val="1"/>
        </w:numPr>
        <w:rPr/>
      </w:pPr>
      <w:r>
        <w:t>The same code path must remain harmless under normal Python execution on Linux, WSL, macOS, and non-frozen Windows.</w:t>
      </w:r>
    </w:p>
    <w:p>
      <w:pPr>
        <w:pStyle w:val="ListBullet"/>
        <w:numPr>
          <w:ilvl w:val="0"/>
          <w:numId w:val="1"/>
        </w:numPr>
        <w:rPr/>
      </w:pPr>
      <w:r>
        <w:t>If a path-worker process pool becomes unusable because of startup or infrastructure failure, report the pool failure and retry the affected inventory paths serially rather than ending the run with only a generic process-pool error.</w:t>
      </w:r>
    </w:p>
    <w:p>
      <w:pPr>
        <w:pStyle w:val="ListBullet"/>
        <w:numPr>
          <w:ilvl w:val="0"/>
          <w:numId w:val="1"/>
        </w:numPr>
        <w:rPr/>
      </w:pPr>
      <w:r>
        <w:t>The runtime must keep track of the active ProcessPoolExecutor so GUI Quit and Ctrl-C can terminate path-worker processes before active log cleanup.</w:t>
      </w:r>
    </w:p>
    <w:p>
      <w:pPr>
        <w:pStyle w:val="ListBullet"/>
        <w:numPr>
          <w:ilvl w:val="0"/>
          <w:numId w:val="1"/>
        </w:numPr>
        <w:rPr/>
      </w:pPr>
      <w:r>
        <w:t>When the GUI Quit button or the window close control is used while an inventory scan is still active, immediately display an alert that inventory is stopping and it will take a moment to clean up before exiting. The alert must appear before active workers are terminated and active logs are cleaned up.</w:t>
      </w:r>
    </w:p>
    <w:p>
      <w:pPr>
        <w:pStyle w:val="ListBullet"/>
        <w:numPr>
          <w:ilvl w:val="0"/>
          <w:numId w:val="1"/>
        </w:numPr>
        <w:rPr/>
      </w:pPr>
      <w:r>
        <w:t>The cleanup path must work on Windows frozen executables and normal Linux/WSL/macOS execution without leaving worker processes running after the parent GUI exits.</w:t>
      </w:r>
    </w:p>
    <w:p>
      <w:pPr>
        <w:pStyle w:val="Heading2"/>
        <w:rPr/>
      </w:pPr>
      <w:r>
        <w:t>2.10 Performance and Load Controls</w:t>
      </w:r>
    </w:p>
    <w:p>
      <w:pPr>
        <w:pStyle w:val="ListBullet"/>
        <w:numPr>
          <w:ilvl w:val="0"/>
          <w:numId w:val="1"/>
        </w:numPr>
        <w:rPr/>
      </w:pPr>
      <w:r>
        <w:t>The inventory must support CPU and filesystem load controls so large scans do not make Windows File Explorer or the host operating system unusable.</w:t>
      </w:r>
    </w:p>
    <w:p>
      <w:pPr>
        <w:pStyle w:val="ListBullet"/>
        <w:numPr>
          <w:ilvl w:val="0"/>
          <w:numId w:val="1"/>
        </w:numPr>
        <w:rPr/>
      </w:pPr>
      <w:r>
        <w:t>Add --performance-mode with values gentle, balanced, fast, and extreme.</w:t>
      </w:r>
    </w:p>
    <w:p>
      <w:pPr>
        <w:pStyle w:val="ListBullet"/>
        <w:numPr>
          <w:ilvl w:val="0"/>
          <w:numId w:val="1"/>
        </w:numPr>
        <w:rPr/>
      </w:pPr>
      <w:r>
        <w:t>Add --max-workers N. A value of 0 on the CLI means use the default for the selected performance mode. In the GUI, when --max-workers is omitted or supplied as 0, the Max Workers field must display the computed performance-mode/platform default rather than the internal 0 auto sentinel, except extreme mode must display 0 to preserve its uncapped search-path-worker default. A positive Max Workers value must also cap postprocess setlist/bootlist export workers.</w:t>
      </w:r>
    </w:p>
    <w:p>
      <w:pPr>
        <w:pStyle w:val="ListBullet"/>
        <w:numPr>
          <w:ilvl w:val="0"/>
          <w:numId w:val="1"/>
        </w:numPr>
        <w:rPr/>
      </w:pPr>
      <w:r>
        <w:t>Gentle mode uses one search-path worker by default, lowers process priority where supported, and applies filesystem traversal throttling.</w:t>
      </w:r>
    </w:p>
    <w:p>
      <w:pPr>
        <w:pStyle w:val="ListBullet"/>
        <w:numPr>
          <w:ilvl w:val="0"/>
          <w:numId w:val="1"/>
        </w:numPr>
        <w:rPr/>
      </w:pPr>
      <w:r>
        <w:t>Balanced mode uses limited parallelism, no more than two workers by default and no more than the platform CPU count, lowers process priority where supported, and applies light traversal throttling.</w:t>
      </w:r>
    </w:p>
    <w:p>
      <w:pPr>
        <w:pStyle w:val="ListBullet"/>
        <w:numPr>
          <w:ilvl w:val="0"/>
          <w:numId w:val="1"/>
        </w:numPr>
        <w:rPr/>
      </w:pPr>
      <w:r>
        <w:t>Fast mode uses maximum-throughput behavior: available workers up to the platform CPU count and, at runtime, up to the number of parallelizable volume work groups; it uses normal process priority and no traversal throttling.</w:t>
      </w:r>
    </w:p>
    <w:p>
      <w:pPr>
        <w:pStyle w:val="ListBullet"/>
        <w:numPr>
          <w:ilvl w:val="0"/>
          <w:numId w:val="1"/>
        </w:numPr>
        <w:rPr/>
      </w:pPr>
      <w:r>
        <w:t>Extreme mode is the opt-in speed-first mode. It uses normal priority, no traversal throttling, and unsorted Phase 1 traversal. It imposes no performance-mode cap on search-path workers: by default, one path worker may run per queued work group unless a positive --max-workers/Max Workers value is supplied. Postprocess remains separately bounded and honors a positive Max Workers value.</w:t>
      </w:r>
    </w:p>
    <w:p>
      <w:pPr>
        <w:pStyle w:val="ListBullet"/>
        <w:numPr>
          <w:ilvl w:val="0"/>
          <w:numId w:val="1"/>
        </w:numPr>
        <w:rPr/>
      </w:pPr>
      <w:r>
        <w:t>The effective runtime worker count is capped at the number of parallelizable volume work groups. When a positive --max-workers value is supplied, it additionally caps the selected performance-mode/platform default. When --max-workers is 0 or omitted on the CLI, the selected performance-mode/platform default is used and still capped by the named physical-drive work-group count at runtime.</w:t>
      </w:r>
    </w:p>
    <w:p>
      <w:pPr>
        <w:pStyle w:val="ListBullet"/>
        <w:numPr>
          <w:ilvl w:val="0"/>
          <w:numId w:val="1"/>
        </w:numPr>
        <w:rPr/>
      </w:pPr>
      <w:r>
        <w:t>The GUI and CLI must default to balanced Performance Mode unless another mode is supplied.</w:t>
      </w:r>
    </w:p>
    <w:p>
      <w:pPr>
        <w:pStyle w:val="ListBullet"/>
        <w:numPr>
          <w:ilvl w:val="0"/>
          <w:numId w:val="1"/>
        </w:numPr>
        <w:rPr/>
      </w:pPr>
      <w:r>
        <w:t>The CLI must default to balanced mode.</w:t>
      </w:r>
    </w:p>
    <w:p>
      <w:pPr>
        <w:pStyle w:val="ListBullet"/>
        <w:numPr>
          <w:ilvl w:val="0"/>
          <w:numId w:val="1"/>
        </w:numPr>
        <w:rPr/>
      </w:pPr>
      <w:r>
        <w:t>The GUI must expose Performance Mode and Max Workers controls.</w:t>
      </w:r>
    </w:p>
    <w:p>
      <w:pPr>
        <w:pStyle w:val="ListBullet"/>
        <w:numPr>
          <w:ilvl w:val="0"/>
          <w:numId w:val="1"/>
        </w:numPr>
        <w:rPr/>
      </w:pPr>
      <w:r>
        <w:t>The GUI must provide Pause and Resume controls. Pause must cause traversal to yield between directory operations; workers complete their current directory operation before suspending, and no new directories are dispatched while paused. Resume must continue the run without restarting it. Pause applies to active traversal/inventory work and does not delete logs or cancel already completed postprocess output.</w:t>
      </w:r>
    </w:p>
    <w:p>
      <w:pPr>
        <w:pStyle w:val="ListBullet"/>
        <w:numPr>
          <w:ilvl w:val="0"/>
          <w:numId w:val="1"/>
        </w:numPr>
        <w:rPr/>
      </w:pPr>
      <w:r>
        <w:t>On Windows frozen executables, the GUI process and worker processes should run at idle priority in gentle mode and below-normal priority in balanced mode when supported.</w:t>
      </w:r>
    </w:p>
    <w:p>
      <w:pPr>
        <w:pStyle w:val="ListBullet"/>
        <w:numPr>
          <w:ilvl w:val="0"/>
          <w:numId w:val="1"/>
        </w:numPr>
        <w:rPr/>
      </w:pPr>
      <w:r>
        <w:t>On Linux, WSL, and macOS, gentle and balanced modes should lower process priority where supported, such as by increasing process niceness.</w:t>
      </w:r>
    </w:p>
    <w:p>
      <w:pPr>
        <w:pStyle w:val="ListBullet"/>
        <w:numPr>
          <w:ilvl w:val="0"/>
          <w:numId w:val="1"/>
        </w:numPr>
        <w:rPr/>
      </w:pPr>
      <w:r>
        <w:t>If OS-level priority changes are unavailable, the program must continue without error and rely on worker limits and traversal throttling.</w:t>
      </w:r>
    </w:p>
    <w:p>
      <w:pPr>
        <w:pStyle w:val="ListBullet"/>
        <w:numPr>
          <w:ilvl w:val="0"/>
          <w:numId w:val="1"/>
        </w:numPr>
        <w:rPr/>
      </w:pPr>
      <w:r>
        <w:t>Filesystem-heavy walkers must periodically yield during directory traversal in gentle and balanced modes.</w:t>
      </w:r>
    </w:p>
    <w:p>
      <w:pPr>
        <w:pStyle w:val="ListBullet"/>
        <w:numPr>
          <w:ilvl w:val="0"/>
          <w:numId w:val="1"/>
        </w:numPr>
        <w:rPr/>
      </w:pPr>
      <w:r>
        <w:t>Phase 2/3 should build music groups from the Phase 1 complete-path log instead of performing a second full discovery walk over the same search tree. For Build 215 and later, Phase 2/3 must read representative media-file paths from the complete-path log, derive the music directory and media type from those paths, and rescan the known music directory or allowed parent only when a later step needs setlist candidates, media counts, exact filenames, filename-date evidence, or tag samples.</w:t>
      </w:r>
    </w:p>
    <w:p>
      <w:pPr>
        <w:pStyle w:val="Normal"/>
        <w:rPr/>
      </w:pPr>
      <w:r/>
    </w:p>
    <w:p>
      <w:pPr>
        <w:pStyle w:val="Heading2"/>
        <w:rPr/>
      </w:pPr>
      <w:r>
        <w:t>2.11 Copy Destination Capacity Checks</w:t>
      </w:r>
    </w:p>
    <w:p>
      <w:pPr>
        <w:pStyle w:val="ListBullet"/>
        <w:numPr>
          <w:ilvl w:val="0"/>
          <w:numId w:val="1"/>
        </w:numPr>
        <w:rPr/>
      </w:pPr>
      <w:r>
        <w:t>Before Phase 1 begins, TLO must preflight destinations for operations that will create a real copy. This includes toBeInventoried.txt --$copy directives, command-line --$copy directives for a single --search-path, Tag Copy destinations, and any --$copy-delete or Tag Copy/Delete Original destination that is on a different filesystem from its source. Same-filesystem Copy/Delete Original transfers are directory moves and must be excluded from source-size totaling and destination-capacity comparison.</w:t>
      </w:r>
    </w:p>
    <w:p>
      <w:pPr>
        <w:pStyle w:val="ListBullet"/>
        <w:numPr>
          <w:ilvl w:val="0"/>
          <w:numId w:val="1"/>
        </w:numPr>
        <w:rPr/>
      </w:pPr>
      <w:r>
        <w:t>Before totaling source folder sizes for this preflight, TLO must print a console note that it is checking source folder sizes before validating destination capacity. The note is informational and must appear before the potentially slow folder-size walk starts.</w:t>
      </w:r>
    </w:p>
    <w:p>
      <w:pPr>
        <w:pStyle w:val="ListBullet"/>
        <w:numPr>
          <w:ilvl w:val="0"/>
          <w:numId w:val="1"/>
        </w:numPr>
        <w:rPr/>
      </w:pPr>
      <w:r>
        <w:t>When Inventory is started with Tag Copy or Tag Copy/Delete Original selected, TLO must open the selected mode's destination dialog. Both dialogs require an existing fully qualified path and may display readable free-space information. Tag Copy states that the original is retained and always performs exact source-size capacity preflight because it always creates another tree. Tag Copy/Delete Original additionally warns that original material will be removed after transfer; its exact source-size capacity preflight applies only to source roots on a different filesystem from the destination. The selected destination is a global override for per-path --$copy and --$copy-delete destinations. If no Search Path override is filled, preflight must sum only roots that will actually be copied. A Dry run still requests the destination so planned move/copy behavior and any applicable capacity requirement can be reviewed, but it must not transfer or delete content.</w:t>
      </w:r>
    </w:p>
    <w:p>
      <w:pPr>
        <w:pStyle w:val="ListBullet"/>
        <w:numPr>
          <w:ilvl w:val="0"/>
          <w:numId w:val="1"/>
        </w:numPr>
        <w:rPr/>
      </w:pPr>
      <w:r>
        <w:t>The preflight must group sources by effective destination, calculate the size of each top-level source tree, compare the total required destination space to current free space, and stop startup if a destination does not have enough space. The alert/error must identify the destination, the source path or paths feeding it, required space, available space, and additional space needed.</w:t>
      </w:r>
    </w:p>
    <w:p>
      <w:pPr>
        <w:pStyle w:val="ListBullet"/>
        <w:numPr>
          <w:ilvl w:val="0"/>
          <w:numId w:val="1"/>
        </w:numPr>
        <w:rPr/>
      </w:pPr>
      <w:r>
        <w:t>Before any Tag Copy or Copy/Delete Original transfer, TLO must complete show grouping and metadata extraction from the original source tree. The source evidence includes the original folder and path components, selected setlist content, music filenames, and existing audio tags. Only after the show metadata record has been resolved may TLO copy or move the identified show folder and rewrite the active working paths to the destination. Tagging and final inventory output then use the destination path; metadata already resolved from the original source is retained. Ordinary Tag Copy always creates a real copy, even when source and destination are on the same filesystem. Before changes begin, TLO must total the full source size and compare it with destination free space. After copying, TLO must compare the source and destination relative-file maps and every corresponding file size before tagging continues; the original is retained. For Copy/Delete Original, TLO must determine filesystem identity before walking the source for sizes. If source and destination are on the same filesystem, TLO must perform a directory rename/move and must not total source file sizes, perform a source-size capacity comparison, or compare file sizes after the move. If they are on different filesystems, TLO must total the source, verify destination capacity, copy the tree, compare relative paths and file sizes, and delete the original only after verification succeeds. A destination must not be the source folder or a child of it.</w:t>
      </w:r>
    </w:p>
    <w:p>
      <w:pPr>
        <w:pStyle w:val="ListBullet"/>
      </w:pPr>
      <w:r>
        <w:t>A Tag Copy or Copy/Delete Original transfer applies to the complete identified source folder tree rooted at MAIN_DIR_PATH, not only to inventoried music files or selected setlists. The transfer must include every file and every descendant directory beneath that folder, including non-music files and empty directories. A same-filesystem Copy/Delete Original directory rename/move naturally transfers the complete tree. A real copy must recursively copy the complete tree, and post-copy verification must compare all relative file paths and file sizes plus the descendant directory structure before Copy/Delete Original may remove the source.</w:t>
      </w:r>
    </w:p>
    <w:p>
      <w:pPr>
        <w:pStyle w:val="ListBullet"/>
      </w:pPr>
      <w:r>
        <w:t>Copy-versus-alternate naming is determined by exact recursive tree identity, not by a name collision alone. Before TLO appends (copyN) to a Show qualifier or to a compliant destination/renamed folder, it must compare the incoming/source MAIN_DIR_PATH tree against existing same-base sibling or destination-family trees. A tree qualifies as a copy only when the relative descendant directory set (including empty directories), relative file set, file sizes, and byte contents of every corresponding file are all identical. After structure/path/size checks pass, byte identity shall be verified with SHA-256 or an equivalently collision-resistant full-file digest. File timestamps and other filesystem metadata do not affect copy identity. If no exact same-base tree exists, or any candidate cannot be completely read and verified, TLO must classify the collision as an alternate and use (altN), never (copyN). An input folder already ending in (copyN) must be revalidated by the same rule before that copy qualifier is propagated into SHOW_NAME; when the required exact sibling match is absent, the visible Show qualifier shall be (altN). This copy/alt rule applies to Show and folder collision naming; generated setlist filename collision handling remains a separate postprocess rule.</w:t>
      </w:r>
    </w:p>
    <w:p>
      <w:pPr>
        <w:pStyle w:val="Heading2"/>
        <w:rPr/>
      </w:pPr>
      <w:r>
        <w:t>2.12 Distribution Build and Packaging</w:t>
      </w:r>
    </w:p>
    <w:p>
      <w:pPr>
        <w:pStyle w:val="ListBullet"/>
        <w:numPr>
          <w:ilvl w:val="0"/>
          <w:numId w:val="1"/>
        </w:numPr>
        <w:rPr/>
      </w:pPr>
      <w:r>
        <w:t>Every numbered source update must produce platform-specific end-user release assets in addition to the source bundle and separately delivered current requirements DOCX.</w:t>
      </w:r>
    </w:p>
    <w:p>
      <w:pPr>
        <w:pStyle w:val="ListBullet"/>
        <w:numPr>
          <w:ilvl w:val="0"/>
          <w:numId w:val="1"/>
        </w:numPr>
        <w:rPr/>
      </w:pPr>
      <w:r>
        <w:t>Release asset names must use the supplied public version number and numeric build number. The GitHub build process accepts -vnumber VERSION and -bnumber BUILD; it tracks the local release folder by build number while using the supplied version in tags, release titles, asset names, manifests, and notes.</w:t>
      </w:r>
    </w:p>
    <w:p>
      <w:pPr>
        <w:pStyle w:val="ListBullet"/>
        <w:numPr>
          <w:ilvl w:val="0"/>
          <w:numId w:val="1"/>
        </w:numPr>
        <w:rPr/>
      </w:pPr>
      <w:r>
        <w:t>The release output must include eight ZIP assets: complete and update packages for Windows onefile, Windows onedir, macOS, and generic Linux. Asset names follow TLO_V&lt;VERSION&gt;Build&lt;BUILD&gt;_complete_Windows.zip, TLO_V&lt;VERSION&gt;Build&lt;BUILD&gt;_complete_Windows_onedir.zip, TLO_V&lt;VERSION&gt;Build&lt;BUILD&gt;_complete_Linux.zip, TLO_V&lt;VERSION&gt;Build&lt;BUILD&gt;_complete_macOS.zip, plus the corresponding four _update_ ZIPs. The Windows onedir payload must place the six PyInstaller executables (search-artist-db, tlo-gsi, tlo-gi, tlo-research, tlo-ggi, and tlo-tag) directly under apps/Windows with exactly one shared apps/Windows/_internal runtime folder; tlo-deleteDupes remains a separate launcher/private-runtime application.</w:t>
      </w:r>
    </w:p>
    <w:p>
      <w:pPr>
        <w:pStyle w:val="ListBullet"/>
        <w:numPr>
          <w:ilvl w:val="0"/>
          <w:numId w:val="1"/>
        </w:numPr>
        <w:rPr/>
      </w:pPr>
      <w:r>
        <w:t>Windows executables must be built on Windows, macOS executables on macOS, and generic Linux executables on a normal Linux system. The generic Linux build is also the WSL build. The release process must not treat PyInstaller as a cross-compiler for Windows or macOS.</w:t>
      </w:r>
    </w:p>
    <w:p>
      <w:pPr>
        <w:pStyle w:val="ListBullet"/>
        <w:numPr>
          <w:ilvl w:val="0"/>
          <w:numId w:val="1"/>
        </w:numPr>
        <w:rPr/>
      </w:pPr>
      <w:r>
        <w:t>All platform executables/scripts must be completed before final release assembly. The assembler must reject missing platform folders, missing required applications, missing manifests, missing scan receipts, or missing checksums.</w:t>
      </w:r>
    </w:p>
    <w:p>
      <w:pPr>
        <w:pStyle w:val="ListBullet"/>
        <w:numPr>
          <w:ilvl w:val="0"/>
          <w:numId w:val="1"/>
        </w:numPr>
        <w:rPr/>
      </w:pPr>
      <w:r>
        <w:t>Each native platform build must run at least one configured malware scanner after executable creation. A nonzero scanner result, quarantine/removal, missing executable, or post-scan file change must fail the build.</w:t>
      </w:r>
    </w:p>
    <w:p>
      <w:pPr>
        <w:pStyle w:val="ListBullet"/>
        <w:numPr>
          <w:ilvl w:val="0"/>
          <w:numId w:val="1"/>
        </w:numPr>
        <w:rPr/>
      </w:pPr>
      <w:r>
        <w:t>Each platform scan must produce a clean JSON receipt containing the scanner result and SHA-256 hash and size for every packaged platform artifact. Final ZIP assembly must verify that the current files exactly match those receipts.</w:t>
      </w:r>
    </w:p>
    <w:p>
      <w:pPr>
        <w:pStyle w:val="ListBullet"/>
        <w:numPr>
          <w:ilvl w:val="0"/>
          <w:numId w:val="1"/>
        </w:numPr>
        <w:rPr/>
      </w:pPr>
      <w:r>
        <w:t>After receipt verification, the assembler must run a final aggregate malware scan of each staged complete or update package. A ZIP asset must not be created unless that scan reports clean.</w:t>
      </w:r>
    </w:p>
    <w:p>
      <w:pPr>
        <w:pStyle w:val="ListBullet"/>
        <w:numPr>
          <w:ilvl w:val="0"/>
          <w:numId w:val="1"/>
        </w:numPr>
        <w:rPr/>
      </w:pPr>
      <w:r>
        <w:t>The malware gate establishes only that the configured scanners reported the exact packaged artifacts clean at build time. The project must not claim that no antivirus product can ever report a later heuristic false positive. Windows code signing, macOS Developer ID signing/notarization, reproducible builds, and vendor false-positive submission should be used when available.</w:t>
      </w:r>
    </w:p>
    <w:p>
      <w:pPr>
        <w:pStyle w:val="ListBullet"/>
        <w:numPr>
          <w:ilvl w:val="0"/>
          <w:numId w:val="1"/>
        </w:numPr>
        <w:rPr/>
      </w:pPr>
      <w:r>
        <w:t>Release ZIP filenames are versioned, but ZIP contents must not be wrapped in a versioned top-level folder. Users extract a complete package directly into the chosen TLOHome, or manually copy an update package into an existing TLOHome.</w:t>
      </w:r>
    </w:p>
    <w:p>
      <w:pPr>
        <w:pStyle w:val="ListBullet"/>
        <w:numPr>
          <w:ilvl w:val="0"/>
          <w:numId w:val="1"/>
        </w:numPr>
        <w:rPr/>
      </w:pPr>
      <w:r>
        <w:t>Complete platform ZIPs must include required shared support folders, documentation, starter files, manifests, checksums, scan receipts, and TLO_DBs/artists.sqlite plus TLO_DBs/venues.txt for a fresh install. Update ZIPs must not include TLO_DBs unless a future release explicitly requires a complete-install migration.</w:t>
      </w:r>
    </w:p>
    <w:p>
      <w:pPr>
        <w:pStyle w:val="ListBullet"/>
      </w:pPr>
      <w:r>
        <w:t>Executable-only update ZIPs must contain only the platform app payload, matching scan receipt, UPDATE_MANIFEST.json, README_UPDATE.txt, and checksums. They must not contain bootlist.csv, toBeInventoried.txt, setlists/, logs/, debug/, dups/, readyForXfer/, staged/, TLO_DBs/, or other user data/output areas.</w:t>
      </w:r>
    </w:p>
    <w:p>
      <w:pPr>
        <w:pStyle w:val="ListBullet"/>
      </w:pPr>
      <w:r>
        <w:t>Every update ZIP must include UPDATE_MANIFEST.json with package kind update, platform, build number, safe_update true, requires_complete_install false, installed-path entries, and protected paths documenting user-data areas intentionally absent from the package.</w:t>
      </w:r>
    </w:p>
    <w:p>
      <w:pPr>
        <w:pStyle w:val="ListBullet"/>
        <w:numPr>
          <w:ilvl w:val="0"/>
          <w:numId w:val="1"/>
        </w:numPr>
        <w:rPr/>
      </w:pPr>
      <w:r>
        <w:t>Complete platform ZIPs must include the current RTF user manual, a starter toBeInventoried.txt, manifest data, checksums, and clean scan receipts. The requirements document remains in the source bundle and is provided separately; it is not included in end-user complete or update ZIPs.</w:t>
      </w:r>
    </w:p>
    <w:p>
      <w:pPr>
        <w:pStyle w:val="Heading1"/>
        <w:rPr/>
      </w:pPr>
      <w:r>
        <w:t>3. Phase 1 Tree Walk</w:t>
      </w:r>
    </w:p>
    <w:p>
      <w:pPr>
        <w:pStyle w:val="ListBullet"/>
        <w:numPr>
          <w:ilvl w:val="0"/>
          <w:numId w:val="1"/>
        </w:numPr>
        <w:rPr/>
      </w:pPr>
      <w:r>
        <w:t>If a directory name ends with -ignoreDir, do not record that directory and do not descend into it.</w:t>
      </w:r>
    </w:p>
    <w:p>
      <w:pPr>
        <w:pStyle w:val="ListBullet"/>
        <w:numPr>
          <w:ilvl w:val="0"/>
          <w:numId w:val="1"/>
        </w:numPr>
        <w:rPr/>
      </w:pPr>
      <w:r>
        <w:t>Skip Windows system directories including $RECYCLE.BIN and System Volume Information.</w:t>
      </w:r>
    </w:p>
    <w:p>
      <w:pPr>
        <w:pStyle w:val="ListBullet"/>
        <w:numPr>
          <w:ilvl w:val="0"/>
          <w:numId w:val="1"/>
        </w:numPr>
        <w:rPr/>
      </w:pPr>
      <w:r>
        <w:t>Directory pruning must prevent descent by modifying the traversal directory list in place when using os.walk.</w:t>
      </w:r>
    </w:p>
    <w:p>
      <w:pPr>
        <w:pStyle w:val="ListBullet"/>
        <w:numPr>
          <w:ilvl w:val="0"/>
          <w:numId w:val="1"/>
        </w:numPr>
        <w:rPr/>
      </w:pPr>
      <w:r>
        <w:t>Walk each directory only until a real music/video file has been identified. Once a real media file is found, Phase 1 must identify the directory as a media directory and must not continue collecting every media filename from that directory. (see Appendix E1)</w:t>
      </w:r>
    </w:p>
    <w:p>
      <w:pPr>
        <w:pStyle w:val="Normal"/>
        <w:rPr/>
      </w:pPr>
      <w:r/>
    </w:p>
    <w:p>
      <w:pPr>
        <w:pStyle w:val="ListBullet"/>
        <w:numPr>
          <w:ilvl w:val="0"/>
          <w:numId w:val="1"/>
        </w:numPr>
        <w:rPr/>
      </w:pPr>
      <w:r>
        <w:t>Once a music/video file is found, do not descend deeper below that directory for additional inventory discovery. Phase 1 must record only one representative full media-file path for that directory. The directory path and media type are derived later from that sample path.</w:t>
      </w:r>
    </w:p>
    <w:p>
      <w:pPr>
        <w:pStyle w:val="Normal"/>
        <w:rPr/>
      </w:pPr>
      <w:r>
        <w:t>After Phase 1 finishes for a search path, compact the active compN.log complete-path log defensively so it contains no more than one representative media-file row per music directory. This compaction also applies to append-mode and reused logs so legacy entries that listed every media file do not remain. Later grouping and tagging stages must rescan the known music directory when they need counts or full file lists; compN.log is not a tag manifest.</w:t>
      </w:r>
    </w:p>
    <w:p>
      <w:pPr>
        <w:pStyle w:val="ListBullet"/>
        <w:numPr>
          <w:ilvl w:val="0"/>
          <w:numId w:val="1"/>
        </w:numPr>
        <w:rPr/>
      </w:pPr>
      <w:r>
        <w:t>Phase 1 must not carry .txt, .rtf, .doc, or .docx setlist candidate filenames forward in the complete-path log. Setlist candidate discovery happens later by scanning the known media directory, then the allowed immediate parent when the parent-safety rules permit it, then selected sibling information folders such as info, setlist, set list, data, notes, docs, or text inside a compact parent, and descendant locations only as the lowest-priority fallback.</w:t>
      </w:r>
    </w:p>
    <w:p>
      <w:pPr>
        <w:pStyle w:val="ListBullet"/>
        <w:numPr>
          <w:ilvl w:val="0"/>
          <w:numId w:val="1"/>
        </w:numPr>
        <w:rPr/>
      </w:pPr>
      <w:r>
        <w:t>Build 235 setlist discovery rule: the selected setlist is not assumed to be in the same folder as the music files. When the immediate parent has twelve or fewer child directories, or the child folders are clearly related release parts, the parent may be searched for setlist candidates. In the same compact-parent case, sibling folders named info, setlist, set list, data, notes, docs, text, or similar may also be searched for setlist candidates. Direct music-folder candidates remain highest priority.</w:t>
      </w:r>
    </w:p>
    <w:p>
      <w:pPr>
        <w:pStyle w:val="ListBullet"/>
        <w:numPr>
          <w:ilvl w:val="0"/>
          <w:numId w:val="1"/>
        </w:numPr>
        <w:rPr/>
      </w:pPr>
      <w:r>
        <w:t>Targeted descendant setlist lookup must log candidate setlist files only. It must not log deeper media files as inventory candidates and must not create additional music groups from that descent.</w:t>
      </w:r>
    </w:p>
    <w:p>
      <w:pPr>
        <w:pStyle w:val="ListBullet"/>
        <w:numPr>
          <w:ilvl w:val="0"/>
          <w:numId w:val="1"/>
        </w:numPr>
        <w:rPr/>
      </w:pPr>
      <w:r>
        <w:t>If a usable setlist candidate is found in the music directory itself during later setlist selection, do not promote lower-priority descendant candidates ahead of it.</w:t>
      </w:r>
    </w:p>
    <w:p>
      <w:pPr>
        <w:pStyle w:val="ListBullet"/>
        <w:numPr>
          <w:ilvl w:val="0"/>
          <w:numId w:val="1"/>
        </w:numPr>
        <w:rPr/>
      </w:pPr>
      <w:r>
        <w:t>When music is found in a folder whose visible name is a common media-only or wrapper-style folder name, such as CD1, Disc 1, flac, music, tunes, audio, or similar names defined by the wrapper rules, the inventory may check the immediate parent folder for a setlist only when that parent is directly related to the child music folder. Direct relation means the parent has only that one child directory, or the parent child directories are all related wrapper/release parts for the same logical release. This eligibility check is performed during setlist candidate discovery and must also constrain later setlist ranking/selection so an ineligible broad-parent setlist is not promoted. Do not use a parent-folder setlist from a broad artist, collection, or storage directory merely because it contains the current music child among many unrelated children.</w:t>
      </w:r>
    </w:p>
    <w:p>
      <w:pPr>
        <w:pStyle w:val="ListBullet"/>
        <w:numPr>
          <w:ilvl w:val="0"/>
          <w:numId w:val="1"/>
        </w:numPr>
        <w:rPr/>
      </w:pPr>
      <w:r>
        <w:t>Before ranking or selecting a setlist source candidate, inspect a leading content sample when available. Source setlist candidates may be plain text .txt files and the supported rich-text/word-processing exceptions .rtf, .doc, and .docx. Reject candidates that are empty, unreadable, binary-like, full of NULL characters, lack readable alphabetic content, are checksum-only, or match housekeeping names. Valid UTF-16 text must be decoded before applying the NULL/binary rejection rules to .txt files. Rich-text/Word candidates must still pass the same naming, housekeeping, and readable-text rules used for setlist candidates. TLO must read no more than 1 MiB while sampling an ordinary text/RTF/DOC candidate. A full ordinary text read must be rejected when the file exceeds 16 MiB. Before reading a DOCX candidate, TLO must inspect word/document.xml and reject it when its declared uncompressed size exceeds 16 MiB; the oversized XML entry must not be decompressed.</w:t>
      </w:r>
    </w:p>
    <w:p>
      <w:pPr>
        <w:pStyle w:val="ListBullet"/>
        <w:numPr>
          <w:ilvl w:val="0"/>
          <w:numId w:val="1"/>
        </w:numPr>
        <w:rPr/>
      </w:pPr>
      <w:r>
        <w:t>A parent directory with multiple child directories is related only when every direct music-bearing child directory belongs to the same wrapper/common release relationship, such as CD1/CD2/CD3, Set 1/Set 2, Disk3, or wrapper-suffixed siblings that share the same stripped release base such as Big Release CD 1 and Big Release CD 2. If any direct music-bearing sibling is unrelated, the parent is a collection/search container and must not become the logical show root.</w:t>
      </w:r>
    </w:p>
    <w:p>
      <w:pPr>
        <w:pStyle w:val="ListBullet"/>
        <w:numPr>
          <w:ilvl w:val="0"/>
          <w:numId w:val="1"/>
        </w:numPr>
        <w:rPr/>
      </w:pPr>
      <w:r>
        <w:t>In non-compliant mode, if a music directory visible name is, or ends in, a wrapper-like release-part string such as CD 1, CD1, Disc 1, Disk3, Part 2, Set 1, or similar, check sibling music folders under the common parent for related release parts. Named suffix folders aggregate only when at least two related parts exist and all direct music-bearing children under the parent belong to that same release. Exact wrapper folders may use the parent only when no unrelated direct music-bearing child exists.</w:t>
      </w:r>
    </w:p>
    <w:p>
      <w:pPr>
        <w:pStyle w:val="ListBullet"/>
        <w:numPr>
          <w:ilvl w:val="0"/>
          <w:numId w:val="1"/>
        </w:numPr>
        <w:rPr/>
      </w:pPr>
      <w:r>
        <w:t>Exact wrapper part folders such as Jayhawks - Big Release/CD1, Jayhawks - Big Release/CD2, and Jayhawks - Big Release/CD3 must be aggregated as one logical show rooted at the common parent Jayhawks - Big Release.</w:t>
      </w:r>
    </w:p>
    <w:p>
      <w:pPr>
        <w:pStyle w:val="Normal"/>
        <w:rPr/>
      </w:pPr>
      <w:r/>
    </w:p>
    <w:p>
      <w:pPr>
        <w:pStyle w:val="ListBullet"/>
        <w:numPr>
          <w:ilvl w:val="0"/>
          <w:numId w:val="1"/>
        </w:numPr>
        <w:rPr/>
      </w:pPr>
      <w:r>
        <w:t>Wrapper-suffixed music folders such as Marcus, Jay/Big Release CD 1, Marcus, Jay/Big Release CD 2, and Marcus, Jay/Big Release CD 3 must be aggregated as one logical album named Big Release under the common parent Marcus, Jay.</w:t>
      </w:r>
    </w:p>
    <w:p>
      <w:pPr>
        <w:pStyle w:val="Normal"/>
        <w:rPr/>
      </w:pPr>
      <w:r>
        <w:t>Volume-style release-part suffixes such as (Volume 1), (Vol 2), (Vol. 2), (v.1), and v2 are non-compliant release-part aggregation markers only for collection-style sibling folders under a common parent. A short v-number inside a larger descriptive parenthetical, such as (WLIR-FM, rm v.2), is not a volume marker. Differing-base volume siblings aggregate only when every direct music-bearing child under the parent is a volume part; the presence of any unrelated music sibling prevents parent aggregation.</w:t>
      </w:r>
    </w:p>
    <w:p>
      <w:pPr>
        <w:pStyle w:val="ListBullet"/>
        <w:numPr>
          <w:ilvl w:val="0"/>
          <w:numId w:val="1"/>
        </w:numPr>
        <w:rPr/>
      </w:pPr>
      <w:r>
        <w:t>Aggregated release-part groups must collect representative media-file paths and representative media extensions from all related part folders and must create only one metadata record and one bootlist row for the logical show. An aggregated group must never overlap another logical group under the same parent. Setlist candidates and exact media filenames are discovered later from the known part folders when needed.</w:t>
      </w:r>
    </w:p>
    <w:p>
      <w:pPr>
        <w:pStyle w:val="Normal"/>
        <w:rPr/>
      </w:pPr>
      <w:r>
        <w:t>For differing-base volume-style siblings, the stripped volume names do not need to match. Example: Bob Dylan - Collection/Early Days (Vol 1) plus Bob Dylan - Collection/Latter Days (Vol 2) aggregate under Bob Dylan - Collection, with the parent as the logical inventory path.</w:t>
      </w:r>
    </w:p>
    <w:p>
      <w:pPr>
        <w:pStyle w:val="Normal"/>
        <w:rPr/>
      </w:pPr>
      <w:r>
        <w:t>For same-base volume-style siblings, do not aggregate. Example: Bill Dickens 1987-03-14 Great Venue NY NY (Volume 1) plus Bill Dickens 1987-03-14 Great Venue NY NY (Volume 2) are two separate inventory entries. Each row points to its own volume folder. The stripped show base is used for metadata/setlist naming, and normal size-aware setlist collision handling assigns alternates such as base.txt and base(alt1).txt when needed.</w:t>
      </w:r>
    </w:p>
    <w:p>
      <w:pPr>
        <w:pStyle w:val="ListBullet"/>
        <w:numPr>
          <w:ilvl w:val="0"/>
          <w:numId w:val="1"/>
        </w:numPr>
        <w:rPr/>
      </w:pPr>
      <w:r>
        <w:t>Confirm that the item is actually a music file, not a directory whose name happens to contain a music extension. (see Appendix E1)</w:t>
      </w:r>
    </w:p>
    <w:p>
      <w:pPr>
        <w:pStyle w:val="ListBullet"/>
        <w:numPr>
          <w:ilvl w:val="0"/>
          <w:numId w:val="1"/>
        </w:numPr>
        <w:rPr/>
      </w:pPr>
      <w:r>
        <w:t>Do not treat .flac, .flac16, .shn, or similar substrings in a directory name as a music file. (see Appendix E1)</w:t>
      </w:r>
    </w:p>
    <w:p>
      <w:pPr>
        <w:pStyle w:val="Normal"/>
        <w:rPr/>
      </w:pPr>
      <w:r>
        <w:t>/mnt/c/g/BillyBob.flac16/bb2026-03-22track1.flac</w:t>
      </w:r>
    </w:p>
    <w:p>
      <w:pPr>
        <w:pStyle w:val="Normal"/>
        <w:rPr/>
      </w:pPr>
      <w:r>
        <w:t>/mnt/c/g/BillyBob.flac/bb2026-03-22track1.flac</w:t>
      </w:r>
    </w:p>
    <w:p>
      <w:pPr>
        <w:pStyle w:val="ListBullet"/>
        <w:numPr>
          <w:ilvl w:val="0"/>
          <w:numId w:val="1"/>
        </w:numPr>
        <w:rPr/>
      </w:pPr>
      <w:r>
        <w:t>The -ignoreDir rule is a hard traversal rule. Any directory or folder whose visible name ends in -ignoreDir, case-insensitively, must be disregarded before type checks, recording, scanning, grouping, placeholder setlist scanning, or recursion.</w:t>
      </w:r>
    </w:p>
    <w:p>
      <w:pPr>
        <w:pStyle w:val="ListBullet"/>
        <w:numPr>
          <w:ilvl w:val="0"/>
          <w:numId w:val="1"/>
        </w:numPr>
        <w:rPr/>
      </w:pPr>
      <w:r>
        <w:t>The same directory-pruning rule applies during any later scan that walks the original music folder, including generated placeholder setlist music-file scanning.</w:t>
      </w:r>
    </w:p>
    <w:p>
      <w:pPr>
        <w:pStyle w:val="Heading1"/>
        <w:rPr/>
      </w:pPr>
      <w:r>
        <w:t>4. Artist Database Requirements</w:t>
      </w:r>
    </w:p>
    <w:p>
      <w:pPr>
        <w:pStyle w:val="ListBullet"/>
        <w:numPr>
          <w:ilvl w:val="0"/>
          <w:numId w:val="1"/>
        </w:numPr>
        <w:rPr/>
      </w:pPr>
      <w:r>
        <w:t>Artist database schema is defined in Appendix G – Artist Database Schema.</w:t>
      </w:r>
    </w:p>
    <w:p>
      <w:pPr>
        <w:pStyle w:val="ListBullet"/>
        <w:numPr>
          <w:ilvl w:val="0"/>
          <w:numId w:val="1"/>
        </w:numPr>
        <w:rPr/>
      </w:pPr>
      <w:r>
        <w:t>Current working baseline database location is TLOHome/TLO_DBs/artists.sqlite.</w:t>
      </w:r>
    </w:p>
    <w:p>
      <w:pPr>
        <w:pStyle w:val="ListBullet"/>
      </w:pPr>
      <w:r>
        <w:t>Artist database and matcher caches must be bounded for long inventory runs. Repeated artist/alias lookups may be cached during a run, but distinct-query caches must have an upper bound and use an eviction policy such as LRU when that bound is reached.</w:t>
      </w:r>
    </w:p>
    <w:p>
      <w:pPr>
        <w:pStyle w:val="ListBullet"/>
        <w:numPr>
          <w:ilvl w:val="0"/>
          <w:numId w:val="1"/>
        </w:numPr>
        <w:rPr/>
      </w:pPr>
      <w:r>
        <w:t>If a query returns exactly one matching master name, return the master/prime name, the search term, and all aliases for that master name so they can be cached. (see Appendix E7 and Appendix G)</w:t>
      </w:r>
    </w:p>
    <w:p>
      <w:pPr>
        <w:pStyle w:val="ListBullet"/>
        <w:numPr>
          <w:ilvl w:val="0"/>
          <w:numId w:val="1"/>
        </w:numPr>
        <w:rPr/>
      </w:pPr>
      <w:r>
        <w:t>If a query returns more than one matching master name, record a query collision, include the colliding master names, and leave the artist blank.</w:t>
      </w:r>
    </w:p>
    <w:p>
      <w:pPr>
        <w:pStyle w:val="ListBullet"/>
        <w:numPr>
          <w:ilvl w:val="0"/>
          <w:numId w:val="1"/>
        </w:numPr>
        <w:rPr/>
      </w:pPr>
      <w:r>
        <w:t>Always save artists using the master name when a DB match is used.</w:t>
      </w:r>
    </w:p>
    <w:p>
      <w:pPr>
        <w:pStyle w:val="ListBullet"/>
        <w:numPr>
          <w:ilvl w:val="0"/>
          <w:numId w:val="1"/>
        </w:numPr>
        <w:rPr/>
      </w:pPr>
      <w:r>
        <w:t>When searching, strip articles such as the and a in any required form, case-insensitively.</w:t>
      </w:r>
    </w:p>
    <w:p>
      <w:pPr>
        <w:pStyle w:val="ListBullet"/>
        <w:numPr>
          <w:ilvl w:val="0"/>
          <w:numId w:val="1"/>
        </w:numPr>
        <w:rPr/>
      </w:pPr>
      <w:r>
        <w:t>Normalize single quotes before searching.</w:t>
      </w:r>
    </w:p>
    <w:p>
      <w:pPr>
        <w:pStyle w:val="ListBullet"/>
      </w:pPr>
      <w:r>
        <w:t>If a potential artist candidate ends with the separate final word Band, or with a terminal All Star/All Stars spelling (All Star, All Stars, All-Star, All-Stars, AllStar, or AllStars; case-insensitive, with a space or dash allowed before the All-Star suffix), and the complete candidate returns no Artist DB match, retry the Artist DB lookup once after removing that terminal suffix. The complete candidate is always searched first and wins if it exists. Accept the stripped retry only when it resolves to exactly one master name; ambiguous stripped results remain unresolved. Do not strip All Star(s) text that is not terminal. When the retry succeeds, use the matched Artist DB master name under the normal artist-evidence precedence rules.</w:t>
      </w:r>
    </w:p>
    <w:p>
      <w:pPr>
        <w:pStyle w:val="Heading1"/>
        <w:rPr/>
      </w:pPr>
      <w:r>
        <w:t>5. Date Parsing Requirements</w:t>
      </w:r>
    </w:p>
    <w:p>
      <w:pPr>
        <w:pStyle w:val="ListBullet"/>
        <w:numPr>
          <w:ilvl w:val="0"/>
          <w:numId w:val="1"/>
        </w:numPr>
        <w:rPr/>
      </w:pPr>
      <w:r>
        <w:t>Dates may be ranges of the form YYYY-YYYY, YY-YY, YYYY-YY, and increasing multi-part ranges such as 1996-97-98. Ranges may use only dashes or underscores; dots, spaces, slashes, and compact eight-digit forms are not range delimiters. All year-range components must increase after normalization. Ranges whose components are all explicit four-digit years, such as 1917-1939, have no span cap and are valid if each year increases left to right. Shorthand or mixed ranges that use any two-digit component remain capped at a five-year normalized span. YY-YY ranges use the normal two-digit-year pivot, and YYYY-YY continuation values expand near the first year, so 96-98 and 1996-97-98 normalize to 1996-1998. A four-digit year followed immediately by two digits, such as 200104, may be ambiguous between yyyy-mm-xx and yyyy-yyyy when the final two digits plausibly advance the year, including 1999-to-2000/2001 rollover; setlist date/range confirmation and a leading setlist collection clue resolve conflicts. Textual month-day-year forms may include a comma before the year, such as June 15, 2006, and must normalize to yyyy-mm-dd. Numeric separated dates must use one separator style consistently within the candidate; do not accept mixed separator candidates such as yyyy-mm/dd, yyyy.mm/dd, yyyy mm-dd, yyyy mm.dd, or mm/dd-yy. Whitespace around punctuation separators such as " - ", "- ", " -", and " . " is acceptable when the effective separator kind remains consistent. See Appendix E4 for exact patterns and normalization behavior.</w:t>
      </w:r>
    </w:p>
    <w:p>
      <w:pPr>
        <w:pStyle w:val="ListBullet"/>
        <w:numPr>
          <w:ilvl w:val="0"/>
          <w:numId w:val="1"/>
        </w:numPr>
        <w:rPr/>
      </w:pPr>
      <w:r>
        <w:t>A date may appear in any valid numeric, alphabetic, or mixed alphanumeric format. Textual month dates must continue to support no-space forms such as 14APR01, 14APRIL01, 14April01, Apr142001, and 2001APR14; dash, dot, and underscore forms such as 14-Apr-2001, 14.APR.2001, and 14_April_2001; and comma/space variants such as April 14 2001, April 14, 2001, and April 14,2001.</w:t>
      </w:r>
    </w:p>
    <w:p>
      <w:pPr>
        <w:pStyle w:val="ListBullet"/>
        <w:numPr>
          <w:ilvl w:val="0"/>
          <w:numId w:val="1"/>
        </w:numPr>
        <w:rPr/>
      </w:pPr>
      <w:r>
        <w:t>Support US order and European order where the date is otherwise valid. For all-numeric separated dates in paths and filenames, the delimiter must be dash, dot, underscore, or space and must not be mixed; the only mixed numeric case retained is FOUR_PLUS_FOUR_RE handling. For setlist-file content and FLAC DATE tags only, slash-delimited m/d/y and d/m/y forms are accepted with spaces around slashes allowed.</w:t>
      </w:r>
    </w:p>
    <w:p>
      <w:pPr>
        <w:pStyle w:val="ListBullet"/>
        <w:numPr>
          <w:ilvl w:val="0"/>
          <w:numId w:val="1"/>
        </w:numPr>
        <w:rPr/>
      </w:pPr>
      <w:r>
        <w:t>Support single-digit month, single-digit day, and two-digit year.</w:t>
      </w:r>
    </w:p>
    <w:p>
      <w:pPr>
        <w:pStyle w:val="ListBullet"/>
        <w:numPr>
          <w:ilvl w:val="0"/>
          <w:numId w:val="1"/>
        </w:numPr>
        <w:rPr/>
      </w:pPr>
      <w:r>
        <w:t>Support ordinal days such as 1st, 2nd, 3rd, 4th, and uppercase suffix variants such as 1ST, 2ND, 3RD, and 4TH. Do not support fully spelled-out ordinal days as ordinals.</w:t>
      </w:r>
    </w:p>
    <w:p>
      <w:pPr>
        <w:pStyle w:val="ListBullet"/>
        <w:numPr>
          <w:ilvl w:val="0"/>
          <w:numId w:val="1"/>
        </w:numPr>
        <w:rPr/>
      </w:pPr>
      <w:r>
        <w:t>For two-digit years, if the year is less than 35, prefix it with 20; otherwise prefix it with 19.</w:t>
      </w:r>
    </w:p>
    <w:p>
      <w:pPr>
        <w:pStyle w:val="ListBullet"/>
        <w:numPr>
          <w:ilvl w:val="0"/>
          <w:numId w:val="1"/>
        </w:numPr>
        <w:rPr/>
      </w:pPr>
      <w:r>
        <w:t>Dates may contain x placeholders or 00 placeholders.</w:t>
      </w:r>
    </w:p>
    <w:p>
      <w:pPr>
        <w:pStyle w:val="ListBullet"/>
        <w:numPr>
          <w:ilvl w:val="0"/>
          <w:numId w:val="1"/>
        </w:numPr>
        <w:rPr/>
      </w:pPr>
      <w:r>
        <w:t>x placeholders are valid only as a contiguous right-side suffix across the normalized yyyymmdd token. Valid forms include 2001-04-1x, 2001-04-xx, 2004-0x-xx, 202x-xx-xx, 19xx-xx-xx, 20xx-xx-xx, and xxxx-xx-xx. Century-known partial years 19xx and 20xx are legitimate only when every less-significant date component is also unknown, as in 19xx-xx-xx or 20xx-xx-xx. Broader one-digit-known years such as 1xxx and 2xxx remain invalid. Examples such as 19xx-05-xx, 20xx-xx-14, xxxx-04-14, 2001-x4-14, 2001-xx-14, and 2001-04-x4 are invalid.</w:t>
      </w:r>
    </w:p>
    <w:p>
      <w:pPr>
        <w:pStyle w:val="ListBullet"/>
        <w:numPr>
          <w:ilvl w:val="0"/>
          <w:numId w:val="1"/>
        </w:numPr>
        <w:rPr/>
      </w:pPr>
      <w:r>
        <w:t>Support YYYY MMDD and YYYY-MMDD through FOUR_PLUS_FOUR_RE. The space form must resolve to a valid date in US MMDD order or, when US order is invalid, European DDMM order. Ambiguous valid space values continue to prefer US MMDD. The dash form must first be checked as a possible YYYY-YYYY range; valid exact ranges remain ranges, and non-range dash values may then resolve as compact dates.</w:t>
      </w:r>
    </w:p>
    <w:p>
      <w:pPr>
        <w:pStyle w:val="ListBullet"/>
        <w:numPr>
          <w:ilvl w:val="0"/>
          <w:numId w:val="1"/>
        </w:numPr>
        <w:rPr/>
      </w:pPr>
      <w:r>
        <w:t>Support forms such as 1972 march 9 and include appropriate month abbreviations.</w:t>
      </w:r>
    </w:p>
    <w:p>
      <w:pPr>
        <w:pStyle w:val="ListBullet"/>
        <w:numPr>
          <w:ilvl w:val="0"/>
          <w:numId w:val="1"/>
        </w:numPr>
        <w:rPr/>
      </w:pPr>
      <w:r>
        <w:t>If the normalized result is not a valid date, disregard the candidate date.</w:t>
      </w:r>
    </w:p>
    <w:p>
      <w:pPr>
        <w:pStyle w:val="ListBullet"/>
        <w:numPr>
          <w:ilvl w:val="0"/>
          <w:numId w:val="1"/>
        </w:numPr>
        <w:rPr/>
      </w:pPr>
      <w:r>
        <w:t>Compact eight-digit values are date candidates only, not date ranges, during date extraction. Compact YYYYMMDD must normalize to yyyy-mm-dd only when it forms a valid calendar date. Filename normalization has a separate exception: when an eight-digit token is not a valid YYYYMMDD date but is an increasing compact year range such as 19961998, exported setlist filename text normalizes it to 1996-1998; decreasing compact ranges such as 19981997 remain unchanged.</w:t>
      </w:r>
    </w:p>
    <w:p>
      <w:pPr>
        <w:pStyle w:val="ListBullet"/>
        <w:numPr>
          <w:ilvl w:val="0"/>
          <w:numId w:val="1"/>
        </w:numPr>
        <w:rPr/>
      </w:pPr>
      <w:r>
        <w:t>Audio sample-rate/bit-depth expressions are not date evidence. Values such as 44.1/16, 24/96, 16/48, 16-44, 24-96, or similar source-format references must be ignored during date extraction even when found in the selected setlist text, path text, music filename, or generated-setlist filename fallback text.</w:t>
      </w:r>
    </w:p>
    <w:p>
      <w:pPr>
        <w:pStyle w:val="Normal"/>
        <w:rPr/>
      </w:pPr>
      <w:r>
        <w:t>34 -&gt; 2034</w:t>
      </w:r>
    </w:p>
    <w:p>
      <w:pPr>
        <w:pStyle w:val="Normal"/>
        <w:rPr/>
      </w:pPr>
      <w:r>
        <w:t>35 -&gt; 1935</w:t>
      </w:r>
    </w:p>
    <w:p>
      <w:pPr>
        <w:pStyle w:val="Normal"/>
        <w:rPr/>
      </w:pPr>
      <w:r>
        <w:t>75 -&gt; 1975</w:t>
      </w:r>
    </w:p>
    <w:p>
      <w:pPr>
        <w:pStyle w:val="Normal"/>
        <w:rPr/>
      </w:pPr>
      <w:r>
        <w:t>19xx-xx-xx; 20xx-xx-xx; xxxx-xx-xx</w:t>
      </w:r>
    </w:p>
    <w:p>
      <w:pPr>
        <w:pStyle w:val="Normal"/>
        <w:rPr/>
      </w:pPr>
      <w:r>
        <w:t>2021-0x-xx</w:t>
      </w:r>
    </w:p>
    <w:p>
      <w:pPr>
        <w:pStyle w:val="Normal"/>
        <w:rPr/>
      </w:pPr>
      <w:r>
        <w:t>1977-xx-xx</w:t>
      </w:r>
    </w:p>
    <w:p>
      <w:pPr>
        <w:pStyle w:val="Normal"/>
        <w:rPr/>
      </w:pPr>
      <w:r>
        <w:t>1956-10-1x</w:t>
      </w:r>
    </w:p>
    <w:p>
      <w:pPr>
        <w:pStyle w:val="Normal"/>
        <w:rPr/>
      </w:pPr>
      <w:r>
        <w:t>1976-00-00</w:t>
      </w:r>
    </w:p>
    <w:p>
      <w:pPr>
        <w:pStyle w:val="Normal"/>
        <w:rPr/>
      </w:pPr>
      <w:r>
        <w:t>1965-03-00</w:t>
      </w:r>
    </w:p>
    <w:p>
      <w:pPr>
        <w:pStyle w:val="Normal"/>
        <w:rPr/>
      </w:pPr>
      <w:r>
        <w:t>1965-11-00</w:t>
      </w:r>
    </w:p>
    <w:p>
      <w:pPr>
        <w:pStyle w:val="Heading1"/>
        <w:rPr/>
      </w:pPr>
      <w:r>
        <w:t>6. Non-Compliant Music Tag Metadata Check</w:t>
      </w:r>
    </w:p>
    <w:p>
      <w:pPr>
        <w:pStyle w:val="Heading2"/>
        <w:rPr/>
      </w:pPr>
      <w:r>
        <w:t>6.1 Artist Tags</w:t>
      </w:r>
    </w:p>
    <w:p>
      <w:pPr>
        <w:pStyle w:val="ListBullet"/>
        <w:numPr>
          <w:ilvl w:val="0"/>
          <w:numId w:val="1"/>
        </w:numPr>
        <w:rPr/>
      </w:pPr>
      <w:r>
        <w:t>In non-compliant mode only, before looking through directory names, always inspect tags from two music files regardless of Performance Mode. In compliant mode, do not read, carry forward, log, or use FLAC tags. (see Appendix E1 and Appendix E7)</w:t>
      </w:r>
    </w:p>
    <w:p>
      <w:pPr>
        <w:pStyle w:val="ListBullet"/>
        <w:numPr>
          <w:ilvl w:val="0"/>
          <w:numId w:val="1"/>
        </w:numPr>
        <w:rPr/>
      </w:pPr>
      <w:r>
        <w:t>Check ARTIST and ALBUMARTIST.</w:t>
      </w:r>
    </w:p>
    <w:p>
      <w:pPr>
        <w:pStyle w:val="ListBullet"/>
        <w:numPr>
          <w:ilvl w:val="0"/>
          <w:numId w:val="1"/>
        </w:numPr>
        <w:rPr/>
      </w:pPr>
      <w:r>
        <w:t>In non-compliant mode only, if an ARTIST or ALBUMARTIST tag value contains unknown or track case-insensitively anywhere in the tag value, treat that tag value as blank before tag-based artist resolution. The metadata log must show the ignored artist-tag field as blank, and path-based artist detection may continue if no usable tag artist remains.</w:t>
      </w:r>
    </w:p>
    <w:p>
      <w:pPr>
        <w:pStyle w:val="ListBullet"/>
        <w:numPr>
          <w:ilvl w:val="0"/>
          <w:numId w:val="1"/>
        </w:numPr>
        <w:rPr/>
      </w:pPr>
      <w:r>
        <w:t>A usable populated tag artist that resolves unambiguously in the Artist DB is authoritative for the show artist. Store the DB master name (or the As-Is artist spelling when that option is selected) and do not continue path artist identification for that show.</w:t>
      </w:r>
    </w:p>
    <w:p>
      <w:pPr>
        <w:pStyle w:val="ListBullet"/>
        <w:numPr>
          <w:ilvl w:val="0"/>
          <w:numId w:val="1"/>
        </w:numPr>
        <w:rPr/>
      </w:pPr>
      <w:r>
        <w:t>If both ARTIST and ALBUMARTIST are populated and equal, or one is a substring of the other, use the longest populated value as the candidate tag artist; if only the shorter value resolves in the Artist DB, use the shorter value's master name.</w:t>
      </w:r>
    </w:p>
    <w:p>
      <w:pPr>
        <w:pStyle w:val="ListBullet"/>
        <w:numPr>
          <w:ilvl w:val="0"/>
          <w:numId w:val="1"/>
        </w:numPr>
        <w:rPr/>
      </w:pPr>
      <w:r>
        <w:t>If both ARTIST and ALBUMARTIST are populated but neither is a substring of the other, look up both values. If both resolve to the same master name, use that master name.</w:t>
      </w:r>
    </w:p>
    <w:p>
      <w:pPr>
        <w:pStyle w:val="ListBullet"/>
        <w:numPr>
          <w:ilvl w:val="0"/>
          <w:numId w:val="1"/>
        </w:numPr>
        <w:rPr/>
      </w:pPr>
      <w:r>
        <w:t>If both ARTIST and ALBUMARTIST are populated but do not resolve to the same master name, and ALBUMARTIST contains various case-insensitively, set the artist to Various Artists.</w:t>
      </w:r>
    </w:p>
    <w:p>
      <w:pPr>
        <w:pStyle w:val="ListBullet"/>
        <w:numPr>
          <w:ilvl w:val="0"/>
          <w:numId w:val="1"/>
        </w:numPr>
        <w:rPr/>
      </w:pPr>
      <w:r>
        <w:t>Within low-precedence FLAC tag evidence, ALBUMARTIST wins over ARTIST. If both are populated and disagree after the normal blank/noise checks, consider usable ALBUMARTIST values before ARTIST values. This preference does not raise tag evidence above stronger path, structured setlist, selected-setlist-filename, $slam, or other higher-priority artist evidence.</w:t>
      </w:r>
    </w:p>
    <w:p>
      <w:pPr>
        <w:pStyle w:val="ListBullet"/>
        <w:numPr>
          <w:ilvl w:val="0"/>
          <w:numId w:val="1"/>
        </w:numPr>
        <w:rPr/>
      </w:pPr>
      <w:r>
        <w:t>If only one of ARTIST or ALBUMARTIST is populated, use that value as the candidate tag artist.</w:t>
      </w:r>
    </w:p>
    <w:p>
      <w:pPr>
        <w:pStyle w:val="ListBullet"/>
        <w:numPr>
          <w:ilvl w:val="0"/>
          <w:numId w:val="1"/>
        </w:numPr>
        <w:rPr/>
      </w:pPr>
      <w:r>
        <w:t>If the candidate tag artist matches the Artist DB, store the DB master name.</w:t>
      </w:r>
    </w:p>
    <w:p>
      <w:pPr>
        <w:pStyle w:val="ListBullet"/>
        <w:numPr>
          <w:ilvl w:val="0"/>
          <w:numId w:val="1"/>
        </w:numPr>
        <w:rPr/>
      </w:pPr>
      <w:r>
        <w:t>If the candidate tag artist does not match the Artist DB, do not immediately make it the show artist. Defer the normalized raw tag value while DB-backed path artist evidence and explicit selected-setlist artist metadata are checked. If neither identifies an artist, use the deferred raw tag artist as the last-resort fallback and record observations for both the deferral and fallback.</w:t>
      </w:r>
    </w:p>
    <w:p>
      <w:pPr>
        <w:pStyle w:val="ListBullet"/>
      </w:pPr>
      <w:r>
        <w:t>When sampled ARTIST/ALBUMARTIST values do not resolve in the Artist DB, reject values that are plainly metadata noise rather than artists, including numeric-only track identifiers such as 01 or 02 and date-like values such as 1976-05. Do not defer those rejected values as raw-artist fallbacks. Continue checking the remaining sampled ARTIST/ALBUMARTIST values. A numeric or date-like-looking value that does resolve unambiguously in the Artist DB remains a valid artist, so legitimate DB-backed numeric artist names are not suppressed.</w:t>
      </w:r>
    </w:p>
    <w:p>
      <w:pPr>
        <w:pStyle w:val="ListBullet"/>
      </w:pPr>
      <w:r>
        <w:t>The sampled-tag search must not allow the first populated tag value to monopolize artist resolution. Reject numeric/date-like or otherwise unusable values and continue through later samples. Within the low-priority tag tier, evaluate ALBUMARTIST candidates before ARTIST candidates.</w:t>
      </w:r>
    </w:p>
    <w:p>
      <w:pPr>
        <w:pStyle w:val="Heading2"/>
        <w:rPr/>
      </w:pPr>
      <w:r>
        <w:t>6.2 Non-Compliant Date Tag (see Appendix E4 and Appendix E7)</w:t>
      </w:r>
    </w:p>
    <w:p>
      <w:pPr>
        <w:pStyle w:val="ListBullet"/>
        <w:numPr>
          <w:ilvl w:val="0"/>
          <w:numId w:val="1"/>
        </w:numPr>
        <w:rPr/>
      </w:pPr>
      <w:r>
        <w:t>In non-compliant mode only, after artist tags, always check the music file DATE tag regardless of Performance Mode. In compliant mode, do not read, carry forward, log, or use the music file DATE tag.</w:t>
      </w:r>
    </w:p>
    <w:p>
      <w:pPr>
        <w:pStyle w:val="ListBullet"/>
        <w:numPr>
          <w:ilvl w:val="0"/>
          <w:numId w:val="1"/>
        </w:numPr>
        <w:rPr/>
      </w:pPr>
      <w:r>
        <w:t>If the tag exists and is populated, retrieve the string and check whether it is a valid date.</w:t>
      </w:r>
    </w:p>
    <w:p>
      <w:pPr>
        <w:pStyle w:val="ListBullet"/>
        <w:numPr>
          <w:ilvl w:val="0"/>
          <w:numId w:val="1"/>
        </w:numPr>
        <w:rPr/>
      </w:pPr>
      <w:r>
        <w:t>If valid, normalize it and keep it as the potential show date.</w:t>
      </w:r>
    </w:p>
    <w:p>
      <w:pPr>
        <w:pStyle w:val="Heading1"/>
        <w:rPr/>
      </w:pPr>
      <w:r>
        <w:t>7. Non-Compliant Mode</w:t>
      </w:r>
    </w:p>
    <w:p>
      <w:pPr>
        <w:pStyle w:val="Normal"/>
        <w:rPr/>
      </w:pPr>
      <w:r>
        <w:t>Non-compliant mode applies when --compliant is not set.</w:t>
      </w:r>
    </w:p>
    <w:p>
      <w:pPr>
        <w:pStyle w:val="Heading2"/>
        <w:rPr/>
      </w:pPr>
      <w:r>
        <w:t>7.1 General Path Assumption</w:t>
      </w:r>
    </w:p>
    <w:p>
      <w:pPr>
        <w:pStyle w:val="ListBullet"/>
        <w:numPr>
          <w:ilvl w:val="0"/>
          <w:numId w:val="1"/>
        </w:numPr>
        <w:rPr/>
      </w:pPr>
      <w:r>
        <w:t>Assume many shows have an artist name, artist abbreviation, and date in the path.</w:t>
      </w:r>
    </w:p>
    <w:p>
      <w:pPr>
        <w:pStyle w:val="ListBullet"/>
        <w:numPr>
          <w:ilvl w:val="0"/>
          <w:numId w:val="1"/>
        </w:numPr>
        <w:rPr/>
      </w:pPr>
      <w:r>
        <w:t>Common patterns are String1 Date String2 and String1 Date; String1 Date String2 is preferred because it usually contains most desired metadata.</w:t>
      </w:r>
    </w:p>
    <w:p>
      <w:pPr>
        <w:pStyle w:val="ListBullet"/>
        <w:numPr>
          <w:ilvl w:val="0"/>
          <w:numId w:val="1"/>
        </w:numPr>
        <w:rPr/>
      </w:pPr>
      <w:r>
        <w:t>The relevant path is always the directory that contains the music files; there is no separate main dir path concept for metadata extraction.</w:t>
      </w:r>
    </w:p>
    <w:p>
      <w:pPr>
        <w:pStyle w:val="Heading2"/>
        <w:rPr/>
      </w:pPr>
      <w:r>
        <w:t>7.2 Wrapper Directories (see Appendix E2)</w:t>
      </w:r>
    </w:p>
    <w:p>
      <w:pPr>
        <w:pStyle w:val="ListBullet"/>
        <w:numPr>
          <w:ilvl w:val="0"/>
          <w:numId w:val="1"/>
        </w:numPr>
        <w:rPr/>
      </w:pPr>
      <w:r>
        <w:t>During metadata extraction, ignore path components that are themselves wrapper/non-main directories, exact wrapper names, or four-digit wrapper folders. Do not discard an otherwise meaningful show/release component merely because it contains wrapper terminology such as FM Broadcast, Soundboard, FLAC, Audio, or Video. The broader wrapper-term containment patterns in Appendix E2 remain available for wrapper/setlist relationship logic but must not suppress Artist/Date parsing of a meaningful component.</w:t>
      </w:r>
    </w:p>
    <w:p>
      <w:pPr>
        <w:pStyle w:val="ListBullet"/>
      </w:pPr>
      <w:r>
        <w:t>Example: Firefall 1976-05-xx Cleveland FM Broadcast is a metadata-bearing show-folder component and must remain eligible for String1 Date String2 parsing; a standalone folder named FM Broadcast remains an exact wrapper.</w:t>
      </w:r>
    </w:p>
    <w:p>
      <w:pPr>
        <w:pStyle w:val="ListBullet"/>
        <w:numPr>
          <w:ilvl w:val="0"/>
          <w:numId w:val="1"/>
        </w:numPr>
        <w:rPr/>
      </w:pPr>
      <w:r>
        <w:t>Any directory name that is a four-digit number is also a wrapper.</w:t>
      </w:r>
    </w:p>
    <w:p>
      <w:pPr>
        <w:pStyle w:val="ListBullet"/>
        <w:numPr>
          <w:ilvl w:val="0"/>
          <w:numId w:val="1"/>
        </w:numPr>
        <w:rPr/>
      </w:pPr>
      <w:r>
        <w:t>Examples include music, tunes, flacs, D1, CD1, and Set1, but the code-derived patterns in Appendix E2 are authoritative.</w:t>
      </w:r>
    </w:p>
    <w:p>
      <w:pPr>
        <w:pStyle w:val="Heading2"/>
        <w:rPr/>
      </w:pPr>
      <w:r>
        <w:t>7.3 String1 Date String2 Search Order (see Appendix E4)</w:t>
      </w:r>
    </w:p>
    <w:p>
      <w:pPr>
        <w:pStyle w:val="ListBullet"/>
        <w:numPr>
          <w:ilvl w:val="0"/>
          <w:numId w:val="1"/>
        </w:numPr>
        <w:rPr/>
      </w:pPr>
      <w:r>
        <w:t>Before cleaning a candidate path component for String1 Date String2 analysis, capture every trailing parenthetical item from the original folder name in left-to-right order. Then strip those items and trailing whitespace for artist, date, venue, and location parsing. The captured items must remain available in PARENTHETICALS for final show-name construction.</w:t>
      </w:r>
    </w:p>
    <w:p>
      <w:pPr>
        <w:pStyle w:val="ListBullet"/>
        <w:numPr>
          <w:ilvl w:val="0"/>
          <w:numId w:val="1"/>
        </w:numPr>
        <w:rPr/>
      </w:pPr>
      <w:r>
        <w:t>Start at the end of the path and work backwards.</w:t>
      </w:r>
    </w:p>
    <w:p>
      <w:pPr>
        <w:pStyle w:val="ListBullet"/>
        <w:numPr>
          <w:ilvl w:val="0"/>
          <w:numId w:val="1"/>
        </w:numPr>
        <w:rPr/>
      </w:pPr>
      <w:r>
        <w:t>Skip wrapper directories.</w:t>
      </w:r>
    </w:p>
    <w:p>
      <w:pPr>
        <w:pStyle w:val="Heading2"/>
        <w:rPr/>
      </w:pPr>
      <w:r>
        <w:t>7.4 Artist from String1</w:t>
      </w:r>
    </w:p>
    <w:p>
      <w:pPr>
        <w:pStyle w:val="ListBullet"/>
        <w:numPr>
          <w:ilvl w:val="0"/>
          <w:numId w:val="1"/>
        </w:numPr>
        <w:rPr/>
      </w:pPr>
      <w:r>
        <w:t>If the artist is not already identified and there is one pattern match, extract String1.</w:t>
      </w:r>
    </w:p>
    <w:p>
      <w:pPr>
        <w:pStyle w:val="ListBullet"/>
        <w:numPr>
          <w:ilvl w:val="0"/>
          <w:numId w:val="1"/>
        </w:numPr>
        <w:rPr/>
      </w:pPr>
      <w:r>
        <w:t>Strip leading/trailing whitespace, leading/trailing dashes, leading the, leading A, trailing , a, trailing ,A, trailing , the, and trailing ,the.</w:t>
      </w:r>
    </w:p>
    <w:p>
      <w:pPr>
        <w:pStyle w:val="ListBullet"/>
        <w:numPr>
          <w:ilvl w:val="0"/>
          <w:numId w:val="1"/>
        </w:numPr>
        <w:rPr/>
      </w:pPr>
      <w:r>
        <w:t>Article stripping must be case-insensitive for a and the.</w:t>
      </w:r>
    </w:p>
    <w:p>
      <w:pPr>
        <w:pStyle w:val="ListBullet"/>
        <w:numPr>
          <w:ilvl w:val="0"/>
          <w:numId w:val="1"/>
        </w:numPr>
        <w:rPr/>
      </w:pPr>
      <w:r>
        <w:t>Search the Artist DB for the stripped value. If matched, record the master value as the artist.</w:t>
      </w:r>
    </w:p>
    <w:p>
      <w:pPr>
        <w:pStyle w:val="ListBullet"/>
        <w:numPr>
          <w:ilvl w:val="0"/>
          <w:numId w:val="1"/>
        </w:numPr>
        <w:rPr/>
      </w:pPr>
      <w:r>
        <w:t>If there is more than one String1 Date String2 pattern match in the overall path, search the Artist DB for each String1 and compare results.</w:t>
      </w:r>
    </w:p>
    <w:p>
      <w:pPr>
        <w:pStyle w:val="ListBullet"/>
        <w:numPr>
          <w:ilvl w:val="0"/>
          <w:numId w:val="1"/>
        </w:numPr>
        <w:rPr/>
      </w:pPr>
      <w:r>
        <w:t>If all String1 values resolve to the same artist, confirm that artist.</w:t>
      </w:r>
    </w:p>
    <w:p>
      <w:pPr>
        <w:pStyle w:val="ListBullet"/>
        <w:numPr>
          <w:ilvl w:val="0"/>
          <w:numId w:val="1"/>
        </w:numPr>
        <w:rPr/>
      </w:pPr>
      <w:r>
        <w:t>If they resolve to different artists, record an artist conflict, mark the path unresolved, and leave the artist blank.</w:t>
      </w:r>
    </w:p>
    <w:p>
      <w:pPr>
        <w:pStyle w:val="ListBullet"/>
      </w:pPr>
      <w:r>
        <w:t>For non-compliant DB-backed path-artist fallback, exact whole-component lookup remains the first test. If an exact component does not resolve, also try a simple Last, First reversal for a component containing one comma, so Ellington, Duke may resolve as Duke Ellington.</w:t>
      </w:r>
    </w:p>
    <w:p>
      <w:pPr>
        <w:pStyle w:val="ListBullet"/>
      </w:pPr>
      <w:r>
        <w:t>If exact and Last, First reversal do not resolve the component, search the component for the longest Artist-DB-backed artist phrase. This permits a descriptive folder such as Duke Ellington, Unissued recordings by Danish Radio 1957-70 to identify Duke Ellington without treating arbitrary unmatched substrings as artists. Artist collisions discovered by these DB-backed path checks must retain the normal conflict behavior.</w:t>
      </w:r>
    </w:p>
    <w:p>
      <w:pPr>
        <w:pStyle w:val="Heading2"/>
        <w:rPr/>
      </w:pPr>
      <w:r>
        <w:t>7.5 Abbreviation Handling for String1</w:t>
      </w:r>
    </w:p>
    <w:p>
      <w:pPr>
        <w:pStyle w:val="ListBullet"/>
        <w:numPr>
          <w:ilvl w:val="0"/>
          <w:numId w:val="1"/>
        </w:numPr>
        <w:rPr/>
      </w:pPr>
      <w:r>
        <w:t>In non-compliant mode, a short String1 directly adjacent to the date with no whitespace is weak artist-abbreviation evidence, not a primary artist identification. This includes the short prefixes commonly mirrored at the front of traded-music filenames, such as gd in gd1977-05-08....</w:t>
      </w:r>
    </w:p>
    <w:p>
      <w:pPr>
        <w:pStyle w:val="ListBullet"/>
        <w:numPr>
          <w:ilvl w:val="0"/>
          <w:numId w:val="1"/>
        </w:numPr>
        <w:rPr/>
      </w:pPr>
      <w:r>
        <w:t>The path component containing the String1Date or String1DateString2 abbreviation match must be excluded both from the pre-abbreviation path-artist check and from the ordinary subdirectory artist scan so the same short prefix cannot be rediscovered and promoted as independent path evidence.</w:t>
      </w:r>
    </w:p>
    <w:p>
      <w:pPr>
        <w:pStyle w:val="ListBullet"/>
        <w:numPr>
          <w:ilvl w:val="0"/>
          <w:numId w:val="1"/>
        </w:numPr>
        <w:rPr/>
      </w:pPr>
      <w:r>
        <w:t>Do not immediately resolve the short prefix as the artist. Allow stronger artist sources to complete first, including a usable DB-backed audio ARTIST/ALBUMARTIST tag, a full DB-backed artist elsewhere in the path, non-abbreviation path-pattern evidence, explicit selected-setlist artist metadata, DB-backed selected-setlist filename evidence, a usable deferred raw artist tag, and other structured artist fallbacks.</w:t>
      </w:r>
    </w:p>
    <w:p>
      <w:pPr>
        <w:pStyle w:val="ListBullet"/>
        <w:numPr>
          <w:ilvl w:val="0"/>
          <w:numId w:val="1"/>
        </w:numPr>
        <w:rPr/>
      </w:pPr>
      <w:r>
        <w:t>If stronger artist evidence identifies exactly one artist, use that artist and do not use the abbreviation. If stronger path evidence produces an incompatible artist collision/conflict, leave the artist unresolved and do not allow the abbreviation to override the conflict.</w:t>
      </w:r>
    </w:p>
    <w:p>
      <w:pPr>
        <w:pStyle w:val="ListBullet"/>
        <w:numPr>
          <w:ilvl w:val="0"/>
          <w:numId w:val="1"/>
        </w:numPr>
        <w:rPr/>
      </w:pPr>
      <w:r>
        <w:t>Only after the stronger local artist sources are exhausted may String1 be considered as the abbreviation fallback, and only if it has no internal whitespace, contains only alphabetic characters, is four characters or fewer, and is not mixed case.</w:t>
      </w:r>
    </w:p>
    <w:p>
      <w:pPr>
        <w:pStyle w:val="ListBullet"/>
        <w:numPr>
          <w:ilvl w:val="0"/>
          <w:numId w:val="1"/>
        </w:numPr>
        <w:rPr/>
      </w:pPr>
      <w:r>
        <w:t>For the final abbreviation fallback, search the Artist DB alias terms for String1. A short abbreviation prefix from a music filename is not itself promoted as a stronger artist source; music filenames remain available for date fallback according to the filename-date rules.</w:t>
      </w:r>
    </w:p>
    <w:p>
      <w:pPr>
        <w:pStyle w:val="ListBullet"/>
        <w:numPr>
          <w:ilvl w:val="0"/>
          <w:numId w:val="1"/>
        </w:numPr>
        <w:rPr/>
      </w:pPr>
      <w:r>
        <w:t>If the abbreviation resolves to exactly one master artist, use that master only as the final local artist fallback and record the evidence as low-confidence last-resort abbreviation evidence.</w:t>
      </w:r>
    </w:p>
    <w:p>
      <w:pPr>
        <w:pStyle w:val="ListBullet"/>
        <w:numPr>
          <w:ilvl w:val="0"/>
          <w:numId w:val="1"/>
        </w:numPr>
        <w:rPr/>
      </w:pPr>
      <w:r>
        <w:t>If the abbreviation resolves to multiple artists, record an artist collision and leave artist blank. If it does not resolve, leave artist identification to the normal unresolved-show behavior.</w:t>
      </w:r>
    </w:p>
    <w:p>
      <w:pPr>
        <w:pStyle w:val="ListBullet"/>
        <w:numPr>
          <w:ilvl w:val="0"/>
          <w:numId w:val="1"/>
        </w:numPr>
        <w:rPr/>
      </w:pPr>
      <w:r>
        <w:t>After selecting a last-resort abbreviation, if an exact yyyy-mm-dd date is available and eTreeDB and/or setlist.fm lookup is enabled, attempt the enabled artist/date lookup. A successful performance lookup is additional confirmation of the abbreviation and must be recorded in observations.</w:t>
      </w:r>
    </w:p>
    <w:p>
      <w:pPr>
        <w:pStyle w:val="ListBullet"/>
        <w:numPr>
          <w:ilvl w:val="0"/>
          <w:numId w:val="1"/>
        </w:numPr>
        <w:rPr/>
      </w:pPr>
      <w:r>
        <w:t>If no stronger local evidence or enabled online lookup confirms the abbreviation, the fallback artist may remain in use, but observations must explicitly state that the last-resort abbreviation remained unconfirmed.</w:t>
      </w:r>
    </w:p>
    <w:p>
      <w:pPr>
        <w:pStyle w:val="ListBullet"/>
        <w:numPr>
          <w:ilvl w:val="0"/>
          <w:numId w:val="1"/>
        </w:numPr>
        <w:rPr/>
      </w:pPr>
      <w:r>
        <w:t>Compliant mode uses the existing compliant path-pattern rules and is not changed by this non-compliant weak-abbreviation timing rule.</w:t>
      </w:r>
    </w:p>
    <w:p>
      <w:pPr>
        <w:pStyle w:val="Heading2"/>
        <w:rPr/>
      </w:pPr>
      <w:r>
        <w:t>7.6 Artist Cache</w:t>
      </w:r>
    </w:p>
    <w:p>
      <w:pPr>
        <w:pStyle w:val="ListBullet"/>
        <w:numPr>
          <w:ilvl w:val="0"/>
          <w:numId w:val="1"/>
        </w:numPr>
        <w:rPr/>
      </w:pPr>
      <w:r>
        <w:t>If faster, keep a cache of the last five unique artist match results by master name.</w:t>
      </w:r>
    </w:p>
    <w:p>
      <w:pPr>
        <w:pStyle w:val="ListBullet"/>
        <w:numPr>
          <w:ilvl w:val="0"/>
          <w:numId w:val="1"/>
        </w:numPr>
        <w:rPr/>
      </w:pPr>
      <w:r>
        <w:t>For each cached artist, store master name, abbreviations, and aliases.</w:t>
      </w:r>
    </w:p>
    <w:p>
      <w:pPr>
        <w:pStyle w:val="ListBullet"/>
        <w:numPr>
          <w:ilvl w:val="0"/>
          <w:numId w:val="1"/>
        </w:numPr>
        <w:rPr/>
      </w:pPr>
      <w:r>
        <w:t>Search order should be last artist match, then cache, then Artist DB.</w:t>
      </w:r>
    </w:p>
    <w:p>
      <w:pPr>
        <w:pStyle w:val="ListBullet"/>
        <w:numPr>
          <w:ilvl w:val="0"/>
          <w:numId w:val="1"/>
        </w:numPr>
        <w:rPr/>
      </w:pPr>
      <w:r>
        <w:t>The Artist DB is assumed immutable while the application is running; artist-cache correctness depends on no external edits to artists.sqlite during an active run.</w:t>
      </w:r>
    </w:p>
    <w:p>
      <w:pPr>
        <w:pStyle w:val="Heading2"/>
        <w:rPr/>
      </w:pPr>
      <w:r>
        <w:t>7.7 Date from Path (see Appendix E4)</w:t>
      </w:r>
    </w:p>
    <w:p>
      <w:pPr>
        <w:pStyle w:val="ListBullet"/>
        <w:numPr>
          <w:ilvl w:val="0"/>
          <w:numId w:val="1"/>
        </w:numPr>
        <w:rPr/>
      </w:pPr>
      <w:r>
        <w:t>Extract dates from path components using the same date rules.</w:t>
      </w:r>
    </w:p>
    <w:p>
      <w:pPr>
        <w:pStyle w:val="ListBullet"/>
        <w:numPr>
          <w:ilvl w:val="0"/>
          <w:numId w:val="1"/>
        </w:numPr>
        <w:rPr/>
      </w:pPr>
      <w:r>
        <w:t>If more than one date appears in different path components, normalize each date and compare normalized values.</w:t>
      </w:r>
    </w:p>
    <w:p>
      <w:pPr>
        <w:pStyle w:val="ListBullet"/>
        <w:numPr>
          <w:ilvl w:val="0"/>
          <w:numId w:val="1"/>
        </w:numPr>
        <w:rPr/>
      </w:pPr>
      <w:r>
        <w:t>If normalized dates differ, record a date conflict, save original date strings and normalized versions, and leave the show date blank.</w:t>
      </w:r>
    </w:p>
    <w:p>
      <w:pPr>
        <w:pStyle w:val="ListBullet"/>
        <w:numPr>
          <w:ilvl w:val="0"/>
          <w:numId w:val="1"/>
        </w:numPr>
        <w:rPr/>
      </w:pPr>
      <w:r>
        <w:t>If normalized dates agree, set the show date to the normalized date.</w:t>
      </w:r>
    </w:p>
    <w:p>
      <w:pPr>
        <w:pStyle w:val="ListBullet"/>
        <w:numPr>
          <w:ilvl w:val="0"/>
          <w:numId w:val="1"/>
        </w:numPr>
        <w:rPr/>
      </w:pPr>
      <w:r>
        <w:t>If a potential show date came from the music DATE tag, compare it with the path-derived date and apply the same conflict rules.</w:t>
      </w:r>
    </w:p>
    <w:p>
      <w:pPr>
        <w:pStyle w:val="Heading2"/>
        <w:rPr/>
      </w:pPr>
      <w:r>
        <w:t>7.8 String2 as Venue and Location</w:t>
      </w:r>
    </w:p>
    <w:p>
      <w:pPr>
        <w:pStyle w:val="ListBullet"/>
        <w:numPr>
          <w:ilvl w:val="0"/>
          <w:numId w:val="1"/>
        </w:numPr>
        <w:rPr/>
      </w:pPr>
      <w:r>
        <w:t>Treat String2 as a combination of venue and location.</w:t>
      </w:r>
    </w:p>
    <w:p>
      <w:pPr>
        <w:pStyle w:val="ListBullet"/>
        <w:numPr>
          <w:ilvl w:val="0"/>
          <w:numId w:val="1"/>
        </w:numPr>
        <w:rPr/>
      </w:pPr>
      <w:r>
        <w:t>Strip parenthetical items from the end of String2, cache all stripped parenthetical items in their original left-to-right order, then strip trailing whitespace.</w:t>
      </w:r>
    </w:p>
    <w:p>
      <w:pPr>
        <w:pStyle w:val="ListBullet"/>
        <w:numPr>
          <w:ilvl w:val="0"/>
          <w:numId w:val="1"/>
        </w:numPr>
        <w:rPr/>
      </w:pPr>
      <w:r>
        <w:t>Save all captured parentheticals as a single string in the metadata field PARENTHETICALS, separated by one space and preserved in their original order. Merge folder-, String2-, and lookup-derived items without duplicate parenthetical groups.</w:t>
      </w:r>
    </w:p>
    <w:p>
      <w:pPr>
        <w:pStyle w:val="Heading2"/>
        <w:rPr/>
      </w:pPr>
      <w:r>
        <w:t>7.9 Country Detection (see Appendix E5)</w:t>
      </w:r>
    </w:p>
    <w:p>
      <w:pPr>
        <w:pStyle w:val="ListBullet"/>
        <w:numPr>
          <w:ilvl w:val="0"/>
          <w:numId w:val="1"/>
        </w:numPr>
        <w:rPr/>
      </w:pPr>
      <w:r>
        <w:t>Search the end of stripped String2 for a valid country name or country alias from Appendix E5.</w:t>
      </w:r>
    </w:p>
    <w:p>
      <w:pPr>
        <w:pStyle w:val="ListBullet"/>
        <w:numPr>
          <w:ilvl w:val="0"/>
          <w:numId w:val="1"/>
        </w:numPr>
        <w:rPr/>
      </w:pPr>
      <w:r>
        <w:t>If a country is found, first check whether the text immediately before the country contains a state, province, or region anchor. For U.S. country aliases, city + state + country forms such as Austin Texas USA, Austin, Texas U.S., Marina Del Rey, California USA, and New York, New York U.S.A. must normalize to City + StateCode, with USA not printed in the show name.</w:t>
      </w:r>
    </w:p>
    <w:p>
      <w:pPr>
        <w:pStyle w:val="ListBullet"/>
        <w:numPr>
          <w:ilvl w:val="0"/>
          <w:numId w:val="1"/>
        </w:numPr>
        <w:rPr/>
      </w:pPr>
      <w:r>
        <w:t>The venue is whatever remains before the city.</w:t>
      </w:r>
    </w:p>
    <w:p>
      <w:pPr>
        <w:pStyle w:val="ListBullet"/>
        <w:numPr>
          <w:ilvl w:val="0"/>
          <w:numId w:val="1"/>
        </w:numPr>
        <w:rPr/>
      </w:pPr>
      <w:r>
        <w:t>For non-U.S. countries, city + region/province + country forms should be parsed when the region/province is explicit, especially comma-separated forms such as Sydney, New South Wales Australia or Melbourne, Victoria Australia. Store the country for non-U.S. locations. If no region/province is present, continue to treat the text immediately before the country as the city.</w:t>
      </w:r>
    </w:p>
    <w:p>
      <w:pPr>
        <w:pStyle w:val="Heading2"/>
        <w:rPr/>
      </w:pPr>
      <w:r>
        <w:t>7.10 Multi-Part City Adjustment</w:t>
      </w:r>
    </w:p>
    <w:p>
      <w:pPr>
        <w:pStyle w:val="ListBullet"/>
        <w:numPr>
          <w:ilvl w:val="0"/>
          <w:numId w:val="1"/>
        </w:numPr>
        <w:rPr/>
      </w:pPr>
      <w:r>
        <w:t>If the venue appears to end with the first part of a multi-part city name, move that trailing venue word or phrase to the beginning of the city.</w:t>
      </w:r>
    </w:p>
    <w:p>
      <w:pPr>
        <w:pStyle w:val="ListBullet"/>
        <w:numPr>
          <w:ilvl w:val="0"/>
          <w:numId w:val="1"/>
        </w:numPr>
        <w:rPr/>
      </w:pPr>
      <w:r>
        <w:t>The authoritative multi-part city prefix list is Appendix E5. Section 7.10 must not maintain a separate inline list that can drift from the code-derived Appendix E5 list.</w:t>
      </w:r>
    </w:p>
    <w:p>
      <w:pPr>
        <w:pStyle w:val="Heading2"/>
        <w:rPr/>
      </w:pPr>
      <w:r>
        <w:t>7.11 State Detection (see Appendix E5)</w:t>
      </w:r>
    </w:p>
    <w:p>
      <w:pPr>
        <w:pStyle w:val="ListBullet"/>
        <w:numPr>
          <w:ilvl w:val="0"/>
          <w:numId w:val="1"/>
        </w:numPr>
        <w:rPr/>
      </w:pPr>
      <w:r>
        <w:t>If no country is found, search for U.S. state abbreviations and full U.S. state names from Appendix E5.</w:t>
      </w:r>
    </w:p>
    <w:p>
      <w:pPr>
        <w:pStyle w:val="ListBullet"/>
        <w:numPr>
          <w:ilvl w:val="0"/>
          <w:numId w:val="1"/>
        </w:numPr>
        <w:rPr/>
      </w:pPr>
      <w:r>
        <w:t>Search uppercase two-letter state abbreviations first when present, then search full state names and longer state aliases. Two-letter state/region abbreviations must be matched case-sensitively: ME means Maine, but Me in ordinary text does not; CA means California, but Ca does not. Full state names and longer aliases may be matched case-insensitively.</w:t>
      </w:r>
    </w:p>
    <w:p>
      <w:pPr>
        <w:pStyle w:val="ListBullet"/>
        <w:numPr>
          <w:ilvl w:val="0"/>
          <w:numId w:val="1"/>
        </w:numPr>
        <w:rPr/>
      </w:pPr>
      <w:r>
        <w:t>A state code or full state name must appear at the very end of String2, or immediately before a trailing source/recording tail separated by whitespace, comma, or dash, to count as a state/location match.</w:t>
      </w:r>
    </w:p>
    <w:p>
      <w:pPr>
        <w:pStyle w:val="ListBullet"/>
        <w:numPr>
          <w:ilvl w:val="0"/>
          <w:numId w:val="1"/>
        </w:numPr>
        <w:rPr/>
      </w:pPr>
      <w:r>
        <w:t>If found, normalize the state to the two-letter state code and treat it like a country match: city immediately before the state and venue before the city. When the left side is a short location-only phrase before a full state name, keep that phrase as city and leave venue blank.</w:t>
      </w:r>
    </w:p>
    <w:p>
      <w:pPr>
        <w:pStyle w:val="ListBullet"/>
        <w:numPr>
          <w:ilvl w:val="0"/>
          <w:numId w:val="1"/>
        </w:numPr>
        <w:rPr/>
      </w:pPr>
      <w:r>
        <w:t>If no state is found in an allowed state-anchor position, leave venue and location blank.</w:t>
      </w:r>
    </w:p>
    <w:p>
      <w:pPr>
        <w:pStyle w:val="ListBullet"/>
        <w:numPr>
          <w:ilvl w:val="0"/>
          <w:numId w:val="1"/>
        </w:numPr>
        <w:rPr/>
      </w:pPr>
      <w:r>
        <w:t>Special case NYC or nyc: City is New York, State is NY, and Venue immediately precedes NYC.</w:t>
      </w:r>
    </w:p>
    <w:p>
      <w:pPr>
        <w:pStyle w:val="ListBullet"/>
        <w:numPr>
          <w:ilvl w:val="0"/>
          <w:numId w:val="1"/>
        </w:numPr>
        <w:rPr/>
      </w:pPr>
      <w:r>
        <w:t>Special case NOLA or nola: City is New Orleans, State is LA, and Venue immediately precedes NOLA.</w:t>
      </w:r>
    </w:p>
    <w:p>
      <w:pPr>
        <w:pStyle w:val="ListBullet"/>
        <w:numPr>
          <w:ilvl w:val="0"/>
          <w:numId w:val="1"/>
        </w:numPr>
        <w:rPr/>
      </w:pPr>
      <w:r>
        <w:t>A trailing LA state abbreviation must remain Louisiana. Do not convert LA to Los Angeles while detecting state/region values.</w:t>
      </w:r>
    </w:p>
    <w:p>
      <w:pPr>
        <w:pStyle w:val="ListBullet"/>
        <w:numPr>
          <w:ilvl w:val="0"/>
          <w:numId w:val="1"/>
        </w:numPr>
        <w:rPr/>
      </w:pPr>
      <w:r>
        <w:t>If an uppercase state abbreviation is found but not at the end of String2, strip leading whitespace and dashes from the remaining substring after the state and treat it as a single PARENTHETICAL.</w:t>
      </w:r>
    </w:p>
    <w:p>
      <w:pPr>
        <w:pStyle w:val="Heading2"/>
        <w:rPr/>
      </w:pPr>
      <w:r>
        <w:t>7.12 Retry with String1 Date</w:t>
      </w:r>
    </w:p>
    <w:p>
      <w:pPr>
        <w:pStyle w:val="ListBullet"/>
        <w:numPr>
          <w:ilvl w:val="0"/>
          <w:numId w:val="1"/>
        </w:numPr>
        <w:rPr/>
      </w:pPr>
      <w:r>
        <w:t>If the artist has not been identified and String1 Date String2 is not found, retry with String1 Date.</w:t>
      </w:r>
    </w:p>
    <w:p>
      <w:pPr>
        <w:pStyle w:val="ListBullet"/>
        <w:numPr>
          <w:ilvl w:val="0"/>
          <w:numId w:val="1"/>
        </w:numPr>
        <w:rPr/>
      </w:pPr>
      <w:r>
        <w:t>In this case, venue and location are blank.</w:t>
      </w:r>
    </w:p>
    <w:p>
      <w:pPr>
        <w:pStyle w:val="ListBullet"/>
        <w:numPr>
          <w:ilvl w:val="0"/>
          <w:numId w:val="1"/>
        </w:numPr>
        <w:rPr/>
      </w:pPr>
      <w:r>
        <w:t>Perform this second check while each subdirectory is still in hand, but do not stop searching for the original String1 Date String2 pattern until all subdirectories have been processed.</w:t>
      </w:r>
    </w:p>
    <w:p>
      <w:pPr>
        <w:pStyle w:val="ListBullet"/>
        <w:numPr>
          <w:ilvl w:val="0"/>
          <w:numId w:val="1"/>
        </w:numPr>
        <w:rPr/>
      </w:pPr>
      <w:r>
        <w:t>If a retry match is found, keep note of it for later use.</w:t>
      </w:r>
    </w:p>
    <w:p>
      <w:pPr>
        <w:pStyle w:val="Heading2"/>
        <w:rPr/>
      </w:pPr>
      <w:r>
        <w:t>7.13 Artist from Subdirectory Name</w:t>
      </w:r>
    </w:p>
    <w:p>
      <w:pPr>
        <w:pStyle w:val="ListBullet"/>
        <w:numPr>
          <w:ilvl w:val="0"/>
          <w:numId w:val="1"/>
        </w:numPr>
        <w:rPr/>
      </w:pPr>
      <w:r>
        <w:t>If neither String1 Date String2 nor String1 Date matches a subdirectory, and the subdirectory is not a pure number, a single character, or a wrapper directory, look it up in the Artist DB.</w:t>
      </w:r>
    </w:p>
    <w:p>
      <w:pPr>
        <w:pStyle w:val="ListBullet"/>
        <w:numPr>
          <w:ilvl w:val="0"/>
          <w:numId w:val="1"/>
        </w:numPr>
        <w:rPr/>
      </w:pPr>
      <w:r>
        <w:t>If matched, set the artist to the master name.</w:t>
      </w:r>
    </w:p>
    <w:p>
      <w:pPr>
        <w:pStyle w:val="ListBullet"/>
        <w:numPr>
          <w:ilvl w:val="0"/>
          <w:numId w:val="1"/>
        </w:numPr>
        <w:rPr/>
      </w:pPr>
      <w:r>
        <w:t>When walking back up the tree, compare each subdirectory artist match with any artist identified from String1 Date String2.</w:t>
      </w:r>
    </w:p>
    <w:p>
      <w:pPr>
        <w:pStyle w:val="ListBullet"/>
        <w:numPr>
          <w:ilvl w:val="0"/>
          <w:numId w:val="1"/>
        </w:numPr>
        <w:rPr/>
      </w:pPr>
      <w:r>
        <w:t>It is acceptable if the subdirectory artist match is a subset of the previously identified artist.</w:t>
      </w:r>
    </w:p>
    <w:p>
      <w:pPr>
        <w:pStyle w:val="ListBullet"/>
        <w:numPr>
          <w:ilvl w:val="0"/>
          <w:numId w:val="1"/>
        </w:numPr>
        <w:rPr/>
      </w:pPr>
      <w:r>
        <w:t>If names do not have a set/subset relationship, mark the show as in conflict and leave the artist blank.</w:t>
      </w:r>
    </w:p>
    <w:p>
      <w:pPr>
        <w:pStyle w:val="ListBullet"/>
        <w:numPr>
          <w:ilvl w:val="0"/>
          <w:numId w:val="1"/>
        </w:numPr>
        <w:rPr/>
      </w:pPr>
      <w:r>
        <w:t>A longer matching term outweighs a shorter matching term. Voting logic may be added later, but not now.</w:t>
      </w:r>
    </w:p>
    <w:p>
      <w:pPr>
        <w:pStyle w:val="Heading2"/>
        <w:rPr/>
      </w:pPr>
      <w:r>
        <w:t>7.14 Date-Only Search (see Appendix E4)</w:t>
      </w:r>
    </w:p>
    <w:p>
      <w:pPr>
        <w:pStyle w:val="ListBullet"/>
        <w:numPr>
          <w:ilvl w:val="0"/>
          <w:numId w:val="1"/>
        </w:numPr>
        <w:rPr/>
      </w:pPr>
      <w:r>
        <w:t>If neither String1 Date String2 nor String1 Date matches, search all path subdirectories for a date.</w:t>
      </w:r>
    </w:p>
    <w:p>
      <w:pPr>
        <w:pStyle w:val="ListBullet"/>
        <w:numPr>
          <w:ilvl w:val="0"/>
          <w:numId w:val="1"/>
        </w:numPr>
        <w:rPr/>
      </w:pPr>
      <w:r>
        <w:t>If one date is found, use it as the show date.</w:t>
      </w:r>
    </w:p>
    <w:p>
      <w:pPr>
        <w:pStyle w:val="ListBullet"/>
        <w:numPr>
          <w:ilvl w:val="0"/>
          <w:numId w:val="1"/>
        </w:numPr>
        <w:rPr/>
      </w:pPr>
      <w:r>
        <w:t>If more than one date is found, normalize all dates before comparison. If they disagree, mark the show as having a date conflict.</w:t>
      </w:r>
    </w:p>
    <w:p>
      <w:pPr>
        <w:pStyle w:val="ListBullet"/>
        <w:numPr>
          <w:ilvl w:val="0"/>
          <w:numId w:val="1"/>
        </w:numPr>
        <w:rPr/>
      </w:pPr>
      <w:r>
        <w:t>Not finding the date elsewhere should be recorded as an observation, not a conflict.</w:t>
      </w:r>
    </w:p>
    <w:p>
      <w:pPr>
        <w:pStyle w:val="Heading2"/>
        <w:rPr/>
      </w:pPr>
      <w:r>
        <w:t>7.15 Date from Music Filenames (see Appendix E1 and Appendix E4)</w:t>
      </w:r>
    </w:p>
    <w:p>
      <w:pPr>
        <w:pStyle w:val="ListBullet"/>
        <w:numPr>
          <w:ilvl w:val="0"/>
          <w:numId w:val="1"/>
        </w:numPr>
        <w:rPr/>
      </w:pPr>
      <w:r>
        <w:t>If a date still has not been found, check music filenames for a date using all the same date patterns. Phase 1 is not required to log every music filename for this check; later stages may rescan the already-identified music directory when filename-date evidence is needed.</w:t>
      </w:r>
    </w:p>
    <w:p>
      <w:pPr>
        <w:pStyle w:val="ListBullet"/>
        <w:numPr>
          <w:ilvl w:val="0"/>
          <w:numId w:val="1"/>
        </w:numPr>
        <w:rPr/>
      </w:pPr>
      <w:r>
        <w:t>Music-filename dates must preserve the full recognized precision. A complete compact filename date such as 19981003 or 20020810 is normalized to 1998-10-03 or 2002-08-10 and must not be downgraded to yyyy-mm-xx merely because it came from a music filename.</w:t>
      </w:r>
    </w:p>
    <w:p>
      <w:pPr>
        <w:pStyle w:val="ListBullet"/>
        <w:numPr>
          <w:ilvl w:val="0"/>
          <w:numId w:val="1"/>
        </w:numPr>
        <w:rPr/>
      </w:pPr>
      <w:r>
        <w:t>If found, normalize complete filename dates to yyyy-mm-dd and partial filename dates to the appropriate yyyy-mm-xx or yyyy-xx-xx form, then save the normalized value as the date.</w:t>
      </w:r>
    </w:p>
    <w:p>
      <w:pPr>
        <w:pStyle w:val="Heading2"/>
        <w:rPr/>
      </w:pPr>
      <w:r>
        <w:t>7.16 Non-Compliant Date Conflict Preference and Setlist Date Fallback (see Appendix E4)</w:t>
      </w:r>
    </w:p>
    <w:p>
      <w:pPr>
        <w:pStyle w:val="ListBullet"/>
        <w:numPr>
          <w:ilvl w:val="0"/>
          <w:numId w:val="1"/>
        </w:numPr>
        <w:rPr/>
      </w:pPr>
      <w:r>
        <w:t>When multiple date candidates are identified in non-compliant mode, prefer a complete yyyy-mm-dd date over less-specified date candidates such as yyyy-mm-xx, yyyy-xx-xx, or month-year text such as November2020.</w:t>
      </w:r>
    </w:p>
    <w:p>
      <w:pPr>
        <w:pStyle w:val="ListBullet"/>
        <w:numPr>
          <w:ilvl w:val="0"/>
          <w:numId w:val="1"/>
        </w:numPr>
        <w:rPr/>
      </w:pPr>
      <w:r>
        <w:t>If exactly one complete date remains after normalization, use that complete date and ignore less-specified date candidates, even when both the complete date and the less-specified date appear in the path.</w:t>
      </w:r>
    </w:p>
    <w:p>
      <w:pPr>
        <w:pStyle w:val="ListBullet"/>
        <w:numPr>
          <w:ilvl w:val="0"/>
          <w:numId w:val="1"/>
        </w:numPr>
        <w:rPr/>
      </w:pPr>
      <w:r>
        <w:t>Example: if both 1997-11-05 and November2020 / 2020-11-xx are found, use 1997-11-05 and do not mark a date conflict.</w:t>
      </w:r>
    </w:p>
    <w:p>
      <w:pPr>
        <w:pStyle w:val="ListBullet"/>
        <w:numPr>
          <w:ilvl w:val="0"/>
          <w:numId w:val="1"/>
        </w:numPr>
        <w:rPr/>
      </w:pPr>
      <w:r>
        <w:t>If multiple complete dates or otherwise incompatible date candidates remain, treat that as a perceived date conflict and check the selected setlist file contents for a valid date before leaving the show in date conflict.</w:t>
      </w:r>
    </w:p>
    <w:p>
      <w:pPr>
        <w:pStyle w:val="ListBullet"/>
        <w:numPr>
          <w:ilvl w:val="0"/>
          <w:numId w:val="1"/>
        </w:numPr>
        <w:rPr/>
      </w:pPr>
      <w:r>
        <w:t>If a setlist-derived date validates exactly one of the conflicting candidates, use the most specific validated date, clear that date conflict, and record an observation explaining that the conflict was resolved from setlist contents.</w:t>
      </w:r>
    </w:p>
    <w:p>
      <w:pPr>
        <w:pStyle w:val="ListBullet"/>
        <w:numPr>
          <w:ilvl w:val="0"/>
          <w:numId w:val="1"/>
        </w:numPr>
        <w:rPr/>
      </w:pPr>
      <w:r>
        <w:t>If setlist-derived date evidence validates none of the conflicting candidates, or validates more than one incompatible candidate, retain the date conflict and leave the date blank.</w:t>
      </w:r>
    </w:p>
    <w:p>
      <w:pPr>
        <w:pStyle w:val="ListBullet"/>
        <w:numPr>
          <w:ilvl w:val="0"/>
          <w:numId w:val="1"/>
        </w:numPr>
        <w:rPr/>
      </w:pPr>
      <w:r>
        <w:t>If the existing non-compliant date methods do not produce any usable date and no unresolved date conflict remains, check only the selected setlist file metadata/header area for a valid date using the same date patterns. The setlist-date fallback must stop before the first true track-list line, checksum/hash line, or checksum/log section. It must not scan dates from song titles, lineage, verification logs, ffp/md5/st5/sfv/hash sections, or text after those boundaries.</w:t>
      </w:r>
    </w:p>
    <w:p>
      <w:pPr>
        <w:pStyle w:val="ListBullet"/>
        <w:numPr>
          <w:ilvl w:val="0"/>
          <w:numId w:val="1"/>
        </w:numPr>
        <w:rPr/>
      </w:pPr>
      <w:r>
        <w:t>When the selected setlist contains complete date evidence in an explicit metadata line, such as DATE: or VENUE:, and the only path/filename date candidate is a compatible year range, use the complete selected-setlist date instead of the range and record an observation explaining the override.</w:t>
      </w:r>
    </w:p>
    <w:p>
      <w:pPr>
        <w:pStyle w:val="ListBullet"/>
        <w:numPr>
          <w:ilvl w:val="0"/>
          <w:numId w:val="1"/>
        </w:numPr>
        <w:rPr/>
      </w:pPr>
      <w:r>
        <w:t>For setlist-date fallback and date-conflict validation, rank date evidence by context: explicit DATE: and VENUE: metadata lines first, concise header-like metadata lines next, and long prose/commentary paragraphs last. Broad collection or series ranges found in prose are only low-confidence range clues unless no better evidence exists.</w:t>
      </w:r>
    </w:p>
    <w:p>
      <w:pPr>
        <w:pStyle w:val="ListBullet"/>
        <w:numPr>
          <w:ilvl w:val="0"/>
          <w:numId w:val="1"/>
        </w:numPr>
        <w:rPr/>
      </w:pPr>
      <w:r>
        <w:t>For explicit VENUE: lines, scan the performance side before Air date, aired, broadcast, simulcast, or similar labels as date evidence. Dates after those broadcast labels are air/broadcast dates and must not be used as performance dates.</w:t>
      </w:r>
    </w:p>
    <w:p>
      <w:pPr>
        <w:pStyle w:val="ListBullet"/>
        <w:numPr>
          <w:ilvl w:val="0"/>
          <w:numId w:val="1"/>
        </w:numPr>
        <w:rPr/>
      </w:pPr>
      <w:r>
        <w:t>Do not use the setlist filename or setlist path as date metadata input for date conflict validation or setlist date fallback.</w:t>
      </w:r>
    </w:p>
    <w:p>
      <w:pPr>
        <w:pStyle w:val="ListBullet"/>
        <w:numPr>
          <w:ilvl w:val="0"/>
          <w:numId w:val="1"/>
        </w:numPr>
        <w:rPr/>
      </w:pPr>
      <w:r>
        <w:t>For aggregated groups with multiple source setlist files, collect one leading-content date candidate from each unique source setlist file and apply the same validation and conflict rules across those candidates.</w:t>
      </w:r>
    </w:p>
    <w:p>
      <w:pPr>
        <w:pStyle w:val="ListBullet"/>
        <w:numPr>
          <w:ilvl w:val="0"/>
          <w:numId w:val="1"/>
        </w:numPr>
        <w:rPr/>
      </w:pPr>
      <w:r>
        <w:t>If exactly one normalized setlist-derived fallback date remains, use it as the show date and record date evidence with a setlist_file source.</w:t>
      </w:r>
    </w:p>
    <w:p>
      <w:pPr>
        <w:pStyle w:val="Heading2"/>
        <w:rPr/>
      </w:pPr>
      <w:r>
        <w:t>7.17 Failure to Match Path Patterns</w:t>
      </w:r>
    </w:p>
    <w:p>
      <w:pPr>
        <w:pStyle w:val="ListBullet"/>
        <w:numPr>
          <w:ilvl w:val="0"/>
          <w:numId w:val="1"/>
        </w:numPr>
        <w:rPr/>
      </w:pPr>
      <w:r>
        <w:t>Failure to match String Date String or String Date should be recorded as an observation, not a conflict.</w:t>
      </w:r>
    </w:p>
    <w:p>
      <w:pPr>
        <w:pStyle w:val="ListBullet"/>
        <w:numPr>
          <w:ilvl w:val="0"/>
          <w:numId w:val="1"/>
        </w:numPr>
        <w:rPr/>
      </w:pPr>
      <w:r>
        <w:t>This failure must not prevent show-name creation if artist and date rules otherwise allow it.</w:t>
      </w:r>
    </w:p>
    <w:p>
      <w:pPr>
        <w:pStyle w:val="ListBullet"/>
        <w:numPr>
          <w:ilvl w:val="0"/>
          <w:numId w:val="1"/>
        </w:numPr>
        <w:rPr/>
      </w:pPr>
      <w:r>
        <w:t>If an artist name is found in the path, use it.</w:t>
      </w:r>
    </w:p>
    <w:p>
      <w:pPr>
        <w:pStyle w:val="ListBullet"/>
        <w:numPr>
          <w:ilvl w:val="0"/>
          <w:numId w:val="1"/>
        </w:numPr>
        <w:rPr/>
      </w:pPr>
      <w:r>
        <w:t>If different artist master names are found, record an artist conflict, do not populate the artist, and do not create a show name.</w:t>
      </w:r>
    </w:p>
    <w:p>
      <w:pPr>
        <w:pStyle w:val="ListBullet"/>
        <w:numPr>
          <w:ilvl w:val="0"/>
          <w:numId w:val="1"/>
        </w:numPr>
        <w:rPr/>
      </w:pPr>
      <w:r>
        <w:t>If date is blank and there is no date conflict, set Date to xxxx-xx-xx.</w:t>
      </w:r>
    </w:p>
    <w:p>
      <w:pPr>
        <w:pStyle w:val="ListBullet"/>
        <w:numPr>
          <w:ilvl w:val="0"/>
          <w:numId w:val="1"/>
        </w:numPr>
        <w:rPr/>
      </w:pPr>
      <w:r>
        <w:t>If an artist is identified and the date is non-blank, create the show name.</w:t>
      </w:r>
    </w:p>
    <w:p>
      <w:pPr>
        <w:pStyle w:val="Heading2"/>
        <w:rPr/>
      </w:pPr>
      <w:r>
        <w:t>7.18 Date String3 Pattern (see Appendix E4)</w:t>
      </w:r>
    </w:p>
    <w:p>
      <w:pPr>
        <w:pStyle w:val="ListBullet"/>
        <w:numPr>
          <w:ilvl w:val="0"/>
          <w:numId w:val="1"/>
        </w:numPr>
        <w:rPr/>
      </w:pPr>
      <w:r>
        <w:t>If a show has not yet been identified, check for Date String3.</w:t>
      </w:r>
    </w:p>
    <w:p>
      <w:pPr>
        <w:pStyle w:val="ListBullet"/>
        <w:numPr>
          <w:ilvl w:val="0"/>
          <w:numId w:val="1"/>
        </w:numPr>
        <w:rPr/>
      </w:pPr>
      <w:r>
        <w:t>If a valid date is found, normalize String3 using the usual rules for whitespace, the, a, and other standard normalization.</w:t>
      </w:r>
    </w:p>
    <w:p>
      <w:pPr>
        <w:pStyle w:val="ListBullet"/>
        <w:numPr>
          <w:ilvl w:val="0"/>
          <w:numId w:val="1"/>
        </w:numPr>
        <w:rPr/>
      </w:pPr>
      <w:r>
        <w:t>Check String3 against the Artist DB. If matched, record the master name as the artist and the identified date as the date.</w:t>
      </w:r>
    </w:p>
    <w:p>
      <w:pPr>
        <w:pStyle w:val="Heading2"/>
        <w:rPr/>
      </w:pPr>
      <w:r>
        <w:t>7.19 String1 - String2 Pattern</w:t>
      </w:r>
    </w:p>
    <w:p>
      <w:pPr>
        <w:pStyle w:val="ListBullet"/>
        <w:numPr>
          <w:ilvl w:val="0"/>
          <w:numId w:val="1"/>
        </w:numPr>
        <w:rPr/>
      </w:pPr>
      <w:r>
        <w:t>If String1 Date String2 is not found, check path subdirectories for String1 - String2 before treating String1 Date as the controlling fallback.</w:t>
      </w:r>
    </w:p>
    <w:p>
      <w:pPr>
        <w:pStyle w:val="ListBullet"/>
        <w:numPr>
          <w:ilvl w:val="0"/>
          <w:numId w:val="1"/>
        </w:numPr>
        <w:rPr/>
      </w:pPr>
      <w:r>
        <w:t>Normalize String1 using the usual rules for whitespace, the, a, and other standard normalization.</w:t>
      </w:r>
    </w:p>
    <w:p>
      <w:pPr>
        <w:pStyle w:val="ListBullet"/>
        <w:numPr>
          <w:ilvl w:val="0"/>
          <w:numId w:val="1"/>
        </w:numPr>
        <w:rPr/>
      </w:pPr>
      <w:r>
        <w:t>Check String1 against the Artist DB. If matched, record the master name as the artist.</w:t>
      </w:r>
    </w:p>
    <w:p>
      <w:pPr>
        <w:pStyle w:val="ListBullet"/>
        <w:numPr>
          <w:ilvl w:val="0"/>
          <w:numId w:val="1"/>
        </w:numPr>
        <w:rPr/>
      </w:pPr>
      <w:r>
        <w:t>If String1 does not match the Artist DB and does not collide with multiple DB artists, check the rest of the subdirectories in the path for a valid Artist DB match before assuming String1 as the artist.</w:t>
      </w:r>
    </w:p>
    <w:p>
      <w:pPr>
        <w:pStyle w:val="ListBullet"/>
        <w:numPr>
          <w:ilvl w:val="0"/>
          <w:numId w:val="1"/>
        </w:numPr>
        <w:rPr/>
      </w:pPr>
      <w:r>
        <w:t>If a valid artist is found elsewhere in the path, use that DB master artist for the show and record an observation/evidence entry that the artist came from another path subdirectory.</w:t>
      </w:r>
    </w:p>
    <w:p>
      <w:pPr>
        <w:pStyle w:val="ListBullet"/>
        <w:numPr>
          <w:ilvl w:val="0"/>
          <w:numId w:val="1"/>
        </w:numPr>
        <w:rPr/>
      </w:pPr>
      <w:r>
        <w:t>If no valid artist is found anywhere else in the path, use String1 as the artist and record an observation/evidence entry that the artist was assumed from String1.</w:t>
      </w:r>
    </w:p>
    <w:p>
      <w:pPr>
        <w:pStyle w:val="ListBullet"/>
        <w:numPr>
          <w:ilvl w:val="0"/>
          <w:numId w:val="1"/>
        </w:numPr>
        <w:rPr/>
      </w:pPr>
      <w:r>
        <w:t>If String1 collides with multiple Artist DB masters, record an artist conflict, leave artist blank, and do not create the show name from this fallback.</w:t>
      </w:r>
    </w:p>
    <w:p>
      <w:pPr>
        <w:pStyle w:val="ListBullet"/>
        <w:numPr>
          <w:ilvl w:val="0"/>
          <w:numId w:val="1"/>
        </w:numPr>
        <w:rPr/>
      </w:pPr>
      <w:r>
        <w:t>For an ordinary non-compliant String1 - String2 match, inspect String2 before using the album fallback. First extract a complete valid performance date when present. Then, after removing that date, apply the conservative String2 venue/location parser. A state/country-anchored location with no unexplained trailing text is strong enough to establish venue/location evidence. If a complete date or strong venue/location evidence is found, continue normal performance metadata processing and do not enter album mode. Only when no such performance evidence is found may String2 be stored as ALBUM_NAME under the generic Artist - Album fallback.</w:t>
      </w:r>
    </w:p>
    <w:p>
      <w:pPr>
        <w:pStyle w:val="ListBullet"/>
      </w:pPr>
      <w:r>
        <w:t>Commercial-release year form: in non-compliant mode, recognize only a leading four-digit 19xx or 20xx year that is either enclosed in parentheses or is the complete first dash-delimited component, followed by Artist - Album. Examples: (1991) - Rod Stewart - Vagabond Heart and 1995 - Rod Stewart - A Spanner In The Works. The release year is classification evidence only: do not assign it to DATE and do not include it in SHOW_NAME. Resolve the middle Artist component normally and use only the Album component as ALBUM_NAME.</w:t>
      </w:r>
    </w:p>
    <w:p>
      <w:pPr>
        <w:pStyle w:val="ListBullet"/>
      </w:pPr>
      <w:r>
        <w:t>The commercial-release year rule must not accept complete or partial dates, year ranges, two-digit years, x-filled years, or a four-digit year embedded inside another component. Examples that are not commercial-release year forms include 1991-06-29 - Artist - Album, (1991-06-29) - Artist - Album, 1991-1998 - Artist - Album, and Album 1991 - Artist - Tail.</w:t>
      </w:r>
    </w:p>
    <w:p>
      <w:pPr>
        <w:pStyle w:val="ListBullet"/>
      </w:pPr>
      <w:r>
        <w:t>For any non-compliant String1 - String2 album fallback, if the album tail begins with an exact repeat of the resolved Artist followed by the dash separator, remove that one redundant Artist component before storing ALBUM_NAME and building SHOW_NAME. Matching is case-insensitive and whitespace-normalized, and must remove only a complete leading Artist component. Example: resolved Artist Rod Stewart plus String2 Rod Stewart - Camouflage produces ALBUM_NAME Camouflage and SHOW_NAME Rod Stewart - Camouflage.</w:t>
      </w:r>
    </w:p>
    <w:p>
      <w:pPr>
        <w:pStyle w:val="ListBullet"/>
        <w:numPr>
          <w:ilvl w:val="0"/>
          <w:numId w:val="1"/>
        </w:numPr>
        <w:rPr/>
      </w:pPr>
      <w:r>
        <w:t>If String2 is date-like and consumes the full String2 value, such as Artist - 2010-08-01, Artist - 20100801, or equivalent valid separated/compact date text, treat String2 as the show date rather than as ALBUM_NAME. Normalize the date and continue normal non-compliant metadata processing, including selected-setlist explicit label extraction. Do not assign xxxx-xx-xx merely because a true album-style String1 - String2 fallback has no date.</w:t>
      </w:r>
    </w:p>
    <w:p>
      <w:pPr>
        <w:pStyle w:val="ListBullet"/>
        <w:numPr>
          <w:ilvl w:val="0"/>
          <w:numId w:val="1"/>
        </w:numPr>
        <w:rPr/>
      </w:pPr>
      <w:r>
        <w:t>When the non-compliant group was formed from exact wrapper part folders under a String1 - String2 parent directory, use the parent String1 - String2 directory as the logical release name. Example: Jayhawks - Big Release/CD1, /CD2, and /CD3 resolve to one show named Jayhawks - Big Release.</w:t>
      </w:r>
    </w:p>
    <w:p>
      <w:pPr>
        <w:pStyle w:val="ListBullet"/>
        <w:numPr>
          <w:ilvl w:val="0"/>
          <w:numId w:val="1"/>
        </w:numPr>
        <w:rPr/>
      </w:pPr>
      <w:r>
        <w:t>When the non-compliant group was formed from wrapper-suffixed part folders, use the stripped folder base as the album name. Before using a raw parent name, search the rest of the path for a valid Artist DB match. Example: Marcus, Jay/Big Release CD 1, /Big Release CD 2, and /Big Release CD 3 resolve to one show named Jay Marcus - Big Release when Marcus, Jay resolves to the DB master Jay Marcus.</w:t>
      </w:r>
    </w:p>
    <w:p>
      <w:pPr>
        <w:pStyle w:val="Normal"/>
        <w:rPr/>
      </w:pPr>
      <w:r>
        <w:t>When a non-compliant folder name ends with a volume-style suffix but has the same stripped base as a sibling, keep it as a separate logical show. Strip the volume suffix only for metadata/setlist-base interpretation. When volume-style sibling names differ, aggregate them under the common parent only if every direct music-bearing child under that parent is one of those volume parts. Otherwise keep each music folder separate so a broad collection root cannot be renamed, tagged as one show, or used as one bootlist path.</w:t>
      </w:r>
    </w:p>
    <w:p>
      <w:pPr>
        <w:pStyle w:val="ListBullet"/>
        <w:numPr>
          <w:ilvl w:val="0"/>
          <w:numId w:val="1"/>
        </w:numPr>
        <w:rPr/>
      </w:pPr>
      <w:r>
        <w:t>For aggregated wrapper-part album records, String2/the stripped release base continues to be treated as ALBUM_NAME. It is not parsed, validated, or split into venue/location fields, and no date is assigned merely because the aggregation has no date.</w:t>
      </w:r>
    </w:p>
    <w:p>
      <w:pPr>
        <w:pStyle w:val="ListBullet"/>
        <w:numPr>
          <w:ilvl w:val="0"/>
          <w:numId w:val="1"/>
        </w:numPr>
        <w:rPr/>
      </w:pPr>
      <w:r>
        <w:t>If an aggregated wrapper-part group has more than one source setlist file, postprocess must concatenate the unique setlist texts into one generated setlist file for the single bootlist entry. Duplicate setlist texts must be written only once.</w:t>
      </w:r>
    </w:p>
    <w:p>
      <w:pPr>
        <w:pStyle w:val="ListBullet"/>
        <w:numPr>
          <w:ilvl w:val="0"/>
          <w:numId w:val="1"/>
        </w:numPr>
        <w:rPr/>
      </w:pPr>
      <w:r>
        <w:t>The show name is Artist - Album Name, with any trailing parentheticals preserved in their original order.</w:t>
      </w:r>
    </w:p>
    <w:p>
      <w:pPr>
        <w:pStyle w:val="ListBullet"/>
        <w:numPr>
          <w:ilvl w:val="0"/>
          <w:numId w:val="1"/>
        </w:numPr>
        <w:rPr/>
      </w:pPr>
      <w:r>
        <w:t>If a non-compliant String1 - String2 album fallback later receives better structured performance metadata from selected setlist metadata, selected setlist date fallback, DATE tags, music filenames, or other structured parsing, rebuild the show name from Artist + Date + Venue + Location rather than keeping the earlier Artist - Album Name fallback. This keeps SHOW_NAME, bootlist.csv, and the generated setlist filename aligned. A dash-album fallback remains valid only when no stronger performance date/venue/location metadata has been established.</w:t>
      </w:r>
    </w:p>
    <w:p>
      <w:pPr>
        <w:pStyle w:val="Heading2"/>
        <w:rPr/>
      </w:pPr>
      <w:r>
        <w:t>7.20 Setlist Date, Artist, Venue, and Location Check</w:t>
      </w:r>
    </w:p>
    <w:p>
      <w:pPr>
        <w:pStyle w:val="ListBullet"/>
        <w:numPr>
          <w:ilvl w:val="0"/>
          <w:numId w:val="1"/>
        </w:numPr>
        <w:rPr/>
      </w:pPr>
      <w:r>
        <w:t>The canonical venue/location source precedence and non-overwrite rules are defined in Section 9. This subsection defines only how selected setlist contents are examined within that sequence.</w:t>
      </w:r>
    </w:p>
    <w:p>
      <w:pPr>
        <w:pStyle w:val="ListBullet"/>
        <w:numPr>
          <w:ilvl w:val="0"/>
          <w:numId w:val="1"/>
        </w:numPr>
        <w:rPr/>
      </w:pPr>
      <w:r>
        <w:t>This check applies only to non-compliant mode. Compliant mode continues to ignore FLAC tags and does not use this setlist metadata check unless a future requirement says otherwise.</w:t>
      </w:r>
    </w:p>
    <w:p>
      <w:pPr>
        <w:pStyle w:val="ListBullet"/>
        <w:numPr>
          <w:ilvl w:val="0"/>
          <w:numId w:val="1"/>
        </w:numPr>
        <w:rPr/>
      </w:pPr>
      <w:r>
        <w:t>The setlist metadata check uses the selected setlist file for the show group. The setlist file contents remain the source for normal Artist/Venue/Location metadata parsing. The selected setlist filename/path must not be used as date, venue, city, region, country, or location metadata input. As an artist-only fallback in non-compliant mode, when no DB-backed path artist and no explicit setlist-content artist has been identified, search the selected setlist filename (basename without extensions) for the longest unambiguous Artist-DB-backed artist phrase before falling back to an unmatched raw audio ARTIST tag.</w:t>
      </w:r>
    </w:p>
    <w:p>
      <w:pPr>
        <w:pStyle w:val="ListBullet"/>
      </w:pPr>
      <w:r>
        <w:t>Selected-setlist-filename artist evidence is lower priority than DB-backed path artist evidence and explicit selected-setlist-content Artist metadata, but higher priority than a deferred unmatched raw ARTIST/ALBUMARTIST tag. Record filename-derived artist evidence with a setlist_filename source and do not use filename text to infer any non-artist metadata field.</w:t>
      </w:r>
    </w:p>
    <w:p>
      <w:pPr>
        <w:pStyle w:val="ListBullet"/>
        <w:numPr>
          <w:ilvl w:val="0"/>
          <w:numId w:val="1"/>
        </w:numPr>
        <w:rPr/>
      </w:pPr>
      <w:r>
        <w:t>Before applying setlist header metadata rules, skip leading false-header commentary/noise. False headers may be decorated with asterisks or rule characters, but they may also be ordinary prose about the recording, upload, lineage, sharing notes, or similar commentary. If the first nonblank lines look like sentences, skip them until the first plausible metadata line. A line with only one or a few words is more likely to be the artist/header start than a preceding sentence-like commentary line.</w:t>
      </w:r>
    </w:p>
    <w:p>
      <w:pPr>
        <w:pStyle w:val="ListBullet"/>
        <w:numPr>
          <w:ilvl w:val="0"/>
          <w:numId w:val="1"/>
        </w:numPr>
        <w:rPr/>
      </w:pPr>
      <w:r>
        <w:t>After false-header trimming and before general artist/venue/location inference, the setlist metadata check must recognize explicit start-of-line labels such as Artist:, Artist -, Band:, Performer:, Venue:, Venue -, Location:, Location -, Loc:, City:, State:, Region:, Province:, Country:, Date:, and Place:. The label may have light leading decoration, such as asterisks or rule characters, but it must appear at the beginning of the logical line, not embedded inside a long sentence. Separators may be colon, equals, hyphen, en dash, or em dash with optional surrounding spaces. Label values that are long prose, recording commentary, or sentence-like descriptions must still be rejected. An explicit Artist/Band/Performer/Act label may fill a missing artist; the other explicit labels support missing venue/location parsing. If an explicit Venue label value contains a trailing location after comma-separated venue text, such as Venue: Osheaga Festival, Parc Jean-Drapeau, Montréal, QC, parse the rightmost valid city/region/country portion as location and retain the preceding comma-bearing text as the venue.</w:t>
      </w:r>
    </w:p>
    <w:p>
      <w:pPr>
        <w:pStyle w:val="ListBullet"/>
        <w:numPr>
          <w:ilvl w:val="0"/>
          <w:numId w:val="1"/>
        </w:numPr>
        <w:rPr/>
      </w:pPr>
      <w:r>
        <w:t>For explicit VENUE: metadata, do not reject the whole field merely because the full value contains sentence-like tails, semicolons, dates, or broadcast text. First trim broadcast/air-date/source tails and trailing date tokens, then apply prose rejection and venue/location splitting to the cleaned metadata prefix.</w:t>
      </w:r>
    </w:p>
    <w:p>
      <w:pPr>
        <w:pStyle w:val="ListBullet"/>
        <w:numPr>
          <w:ilvl w:val="0"/>
          <w:numId w:val="1"/>
        </w:numPr>
        <w:rPr/>
      </w:pPr>
      <w:r>
        <w:t>A VENUE: line may contain venue, location, and the performance date on the same line. Example: VENUE: Madison Square Garden, New York 23/12/72; Air date: ... must yield venue Madison Square Garden, location New York NY when support data allows it, and date 1972-12-23 as performance-date evidence.</w:t>
      </w:r>
    </w:p>
    <w:p>
      <w:pPr>
        <w:pStyle w:val="ListBullet"/>
        <w:numPr>
          <w:ilvl w:val="0"/>
          <w:numId w:val="1"/>
        </w:numPr>
        <w:rPr/>
      </w:pPr>
      <w:r>
        <w:t>The implementation must use support files from TLOHome/TLO_DBs. Required venue support is TLOHome/TLO_DBs/venues.txt. If venues.txt is missing or unreadable, local setlist venue/location checking must be skipped for that run with a readable observation or startup/reporting message; the inventory must not silently pretend that setlist venue lookup succeeded. Location support files such as cities.csv, states_regions.csv, and countries.csv are expected in TLOHome/TLO_DBs when available; if one of these optional files is absent, continue with the remaining support files and record an observation when location validation is degraded.</w:t>
      </w:r>
    </w:p>
    <w:p>
      <w:pPr>
        <w:pStyle w:val="ListBullet"/>
        <w:numPr>
          <w:ilvl w:val="0"/>
          <w:numId w:val="1"/>
        </w:numPr>
        <w:rPr/>
      </w:pPr>
      <w:r>
        <w:t>When cities.csv contains LA or L.A. as shorthand aliases for Los Angeles, accept those aliases only when explicit California evidence follows immediately, such as LA CA or LA, California. Otherwise, leave LA available for state/region parsing as Louisiana.</w:t>
      </w:r>
    </w:p>
    <w:p>
      <w:pPr>
        <w:pStyle w:val="ListBullet"/>
        <w:numPr>
          <w:ilvl w:val="0"/>
          <w:numId w:val="1"/>
        </w:numPr>
        <w:rPr/>
      </w:pPr>
      <w:r>
        <w:t>The setlist metadata check must limit artist/venue/location/date detection to the header/metadata area of the setlist contents. It must stop scanning metadata candidates when the track list starts or when a checksum/hash/log section starts. Track-list starts include punctuated track numbers such as 01., 1), and 03 -, plain track numbers such as 01 TrackTitle and 1 TrackTitle, bracketed-time forms such as 01 [08:23] TrackTitle, and file-style forms such as Track01 and d1t01. However, valid date header lines must not terminate metadata scanning merely because they look track-shaped. Track/hash/log boundaries should normally require a section label or multiple nearby track/hash lines; for very small setlist files, a single track or hash line may terminate scanning only after enough prior header evidence has been collected. Checksum/hash/log boundaries include checksum, ffp, md5, st5, sfv, verification, flac conversion, shntool, aucdtect, individual 32- to 64-character hex hash lines, and filename.ext:&lt;hex&gt; checksum rows for recognized audio extensions, such as 01 Highway Star.flac:81b2cf16b83390c1875f67afb2d37350. Filename.ext:&lt;hex&gt; checksum rows should ordinarily appear as multiple consecutive rows before they are treated as a hash/checksum section boundary.</w:t>
      </w:r>
    </w:p>
    <w:p>
      <w:pPr>
        <w:pStyle w:val="ListBullet"/>
        <w:numPr>
          <w:ilvl w:val="0"/>
          <w:numId w:val="1"/>
        </w:numPr>
        <w:rPr/>
      </w:pPr>
      <w:r>
        <w:t>The setlist metadata check must also recognize strict unlabeled multi-line header blocks before the metadata scan boundary, when the block has a validated structure such as Artist / Venue / Location / Date, Artist / Date / Venue / Location, or Artist / combined Venue, City, Country / Date. The first Artist line from such a validated unlabeled block is artist evidence, not merely a structural delimiter. The structured scan must remain bounded to the same header/metadata window and must not search copied headers, notes, song-title sections, hash/checksum sections, or other text after the first true track-list or checksum/hash/log boundary.</w:t>
      </w:r>
    </w:p>
    <w:p>
      <w:pPr>
        <w:pStyle w:val="ListBullet"/>
        <w:numPr>
          <w:ilvl w:val="0"/>
          <w:numId w:val="1"/>
        </w:numPr>
        <w:rPr/>
      </w:pPr>
      <w:r>
        <w:t>A city-list hit with no explicit state, region, country, comma/slash location context, or other strong location evidence is not sufficient by itself. For example, Nice by itself must not become Nice France when it appears as an adjective or comment fragment. Location parsing must also accept City + Region/State/Province + Country forms in setlist headers, including Marina Del Rey, California USA and comparable non-U.S. comma-separated region/country forms. Setlist header parsing must recognize short unlabeled combined venue/location lines in the form Venue, City, Country; Venue, City, State; Venue, City, State/Region, Country; and conservative Venue City Country forms where the country is known and the city can be identified as a short suffix. For example, Parc des Expos, Reims, France must resolve to Venue = Parc des Expos and Location = Reims France, and Stadthalle St. Ingbert Germany must resolve to Venue = Stadthalle and Location = St. Ingbert Germany. This combined-line split and any trailing-state/region fallback must be limited to header-like location evidence; a recognized state/region must terminate the location expression and must not be taken from inside artist/title text.</w:t>
      </w:r>
    </w:p>
    <w:p>
      <w:pPr>
        <w:pStyle w:val="ListBullet"/>
        <w:numPr>
          <w:ilvl w:val="0"/>
          <w:numId w:val="1"/>
        </w:numPr>
        <w:rPr/>
      </w:pPr>
      <w:r>
        <w:t>Candidate lines that look like prose, recording commentary, taper notes, or long sentence-like descriptions must not be searched for venue or location evidence. This includes long lines with sentence punctuation or recording-source terms. Venue words embedded inside such prose, such as stage inside a recording note, must not be accepted as the Venue.</w:t>
      </w:r>
    </w:p>
    <w:p>
      <w:pPr>
        <w:pStyle w:val="ListBullet"/>
        <w:numPr>
          <w:ilvl w:val="0"/>
          <w:numId w:val="1"/>
        </w:numPr>
        <w:rPr/>
      </w:pPr>
      <w:r>
        <w:t>Date-like tokens found in long prose, recording commentary, collection descriptions, or introductory paragraphs must be downranked compared with explicit metadata/header evidence. A paragraph saying from 1972-75 is a collection/range clue, not preferred performance-date evidence when a VENUE: or DATE: line supplies a complete date.</w:t>
      </w:r>
    </w:p>
    <w:p>
      <w:pPr>
        <w:pStyle w:val="ListBullet"/>
        <w:numPr>
          <w:ilvl w:val="0"/>
          <w:numId w:val="1"/>
        </w:numPr>
        <w:rPr/>
      </w:pPr>
      <w:r>
        <w:t>This header limit prevents song titles, track titles, hashes, and verification/log text from being parsed as dates or locations, such as treating HANG ON SLOOPY as city HANG and region ON, or treating She Left Me as city She Left and state ME. A two-letter state/region code found in setlist metadata must be uppercase to count as that abbreviation; full state names remain case-insensitive.</w:t>
      </w:r>
    </w:p>
    <w:p>
      <w:pPr>
        <w:pStyle w:val="ListBullet"/>
        <w:numPr>
          <w:ilvl w:val="0"/>
          <w:numId w:val="1"/>
        </w:numPr>
        <w:rPr/>
      </w:pPr>
      <w:r>
        <w:t>Header location lines may contain a city with a full U.S. state name, with or without a comma, such as Boca Raton,Florida or Boca Raton Florida. Normalize the region to the two-letter state code.</w:t>
      </w:r>
    </w:p>
    <w:p>
      <w:pPr>
        <w:pStyle w:val="ListBullet"/>
        <w:numPr>
          <w:ilvl w:val="0"/>
          <w:numId w:val="1"/>
        </w:numPr>
        <w:rPr/>
      </w:pPr>
      <w:r>
        <w:t>The setlist metadata check normally fills missing artist, venue, city, region, country, and location fields. It must also run for selected setlist files when a path matched String1 - String2, so explicit labels can fill otherwise missing venue/location fields. Build 375 adds a narrow correction rule for non-compliant venue/location metadata: when an existing venue/city/region/country value is supported only by lower-confidence path_part evidence, a non-equivalent selected-setlist value with strictly higher confidence may replace that weak path value. Build 382 adds a separate narrow artist correction: an artist line extracted from a strict unlabeled structured header may become or replace Artist only when it resolves uniquely in artists.sqlite. It may replace an incompatible Artist only when the current Artist is supported solely by weaker generic path/subdirectory artist scanning. It may also resolve a generic path-only artist conflict. It must not override $slam, audio-tag artist evidence, explicit String1 - String2/commercial-release artist rules, setlist-filename artist evidence, Artist DB collisions, or other stronger/non-path artist evidence. All replacements must be recorded as observations. Equivalent values may be retained and corroborated without a disagreement observation.</w:t>
      </w:r>
    </w:p>
    <w:p>
      <w:pPr>
        <w:pStyle w:val="ListBullet"/>
        <w:numPr>
          <w:ilvl w:val="0"/>
          <w:numId w:val="1"/>
        </w:numPr>
        <w:rPr/>
      </w:pPr>
      <w:r>
        <w:t>If the setlist check supplies artist, venue, city, region/state, or country, add evidence entries using a setlist_metadata source and record an observation that the selected setlist file was used. Explicit artist labels must use a setlist_metadata:EXPLICIT_ARTIST_KEY source when they fill a previously missing artist. A DB-confirmed artist from a strict unlabeled structured header must use setlist_metadata:STRUCTURED_UNLABELED_ARTIST_HEADER. An unlabeled header artist that is absent from artists.sqlite or resolves to multiple Artist DB masters must not be promoted to Artist.</w:t>
      </w:r>
    </w:p>
    <w:p>
      <w:pPr>
        <w:pStyle w:val="ListBullet"/>
      </w:pPr>
      <w:r>
        <w:t>Build 382 regression: for a selected setlist beginning Kinky Friedman / Lone Star Cafe, New York, NY / Early 1980s, the structured header must identify Kinky Friedman as the DB-confirmed artist and Lone Star Cafe / New York NY as venue/location. This must remain true even if an erroneous Lone Star Cafe artist entry is still present in artists.sqlite and generic path scanning encounters it. With no exact performance date, the resulting Show Name is Kinky Friedman xxxx-xx-xx Lone Star Cafe New York, NY.</w:t>
      </w:r>
    </w:p>
    <w:p>
      <w:pPr/>
      <w:r>
        <w:t>Build 383 reversal regression: a successful combined Copy/Delete Original + Rename Compliantly run must be reversible from its exact TAG_COPY_DELETE source -&gt; destination log mappings. The reversal restores the original folder name/location without touching tags, protects existing original paths from overwrite, and uses move vs verified copy/delete according to filesystem boundaries.</w:t>
      </w:r>
    </w:p>
    <w:p>
      <w:pPr/>
      <w:r>
        <w:t>Build 384 reversal regression: a changed historical volume label and/or drive letter must not prevent identifying the correct combined-operation success log. Full-path input such as D:\somePath must be accepted. Log selection may match artist/date evidence across Last, First / First Last and Name, The / The Name forms, but after one log is selected the worker must not search other logs or use fuzzy matching to choose folders. A manually renamed destination folder must remain untouched and be reported as skipped unmatched.</w:t>
      </w:r>
    </w:p>
    <w:p>
      <w:pPr>
        <w:pStyle w:val="ListBullet"/>
        <w:numPr>
          <w:ilvl w:val="0"/>
          <w:numId w:val="1"/>
        </w:numPr>
        <w:rPr/>
      </w:pPr>
      <w:r>
        <w:t>For non-compliant venue/location resolution, the lookup order must be path, then eTreeDB, then selected setlist metadata, then setlist.fm only as a fallback if eTreeDB does not return usable venue/location data. Path/String2 parsing and other path-derived metadata run first. eTreeDB runs next and may fill blank fields only; it must not overwrite nonblank path-derived fields. Selected setlist metadata runs after eTreeDB. It fills blank fields and may correct a non-equivalent venue/city/region/country field only when the current value is supported solely by lower-confidence path_part evidence and the selected-setlist confidence is strictly higher. It must not replace eTreeDB or other stronger evidence. After any such correction, Location must be rebuilt from the selected City + Region/Country so stale path text cannot survive. setlist.fm, if enabled, runs last and may fill only fields still blank. Other non-equivalent disagreements must be logged as observations.</w:t>
      </w:r>
    </w:p>
    <w:p>
      <w:pPr>
        <w:pStyle w:val="ListBullet"/>
      </w:pPr>
      <w:r>
        <w:t>Path String2 parsing must reject day/track-style numeric debris of the form numeric-token + numbered-city-prefix before a valid state/country anchor. For example, "04 05.Reidsville NC" must normalize to no venue, City=Reidsville, Region=NC; it must not produce Venue=04 or City=05.Reidsville. This cleanup is conservative and applies when the putative venue is numeric-only and the city token begins with a numeric prefix followed by period, underscore, or dash.</w:t>
      </w:r>
    </w:p>
    <w:p>
      <w:pPr>
        <w:pStyle w:val="ListBullet"/>
        <w:numPr>
          <w:ilvl w:val="0"/>
          <w:numId w:val="1"/>
        </w:numPr>
        <w:rPr/>
      </w:pPr>
      <w:r>
        <w:t>If no usable setlist file exists, the candidate is unreadable, NULL-filled, binary-like, checksum-only, housekeeping-only, no support data exists, or no usable artist/venue/location metadata is found, record only an observation when appropriate and continue normal non-compliant processing.</w:t>
      </w:r>
    </w:p>
    <w:p>
      <w:pPr>
        <w:pStyle w:val="ListBullet"/>
      </w:pPr>
      <w:r>
        <w:t>Selected setlist metadata parsing must recognize concise spaced double-dash headers when exactly one side is a strong location and the other side is a plausible venue. Both Location -- Venue and Venue -- Location are valid and run before generic venue-database substring fallback. Example: Winnipeg, MB -- CBC Winnipeg studios resolves to Venue CBC Winnipeg studios and Location Winnipeg MB when MB is supported region data.</w:t>
      </w:r>
    </w:p>
    <w:p>
      <w:pPr>
        <w:pStyle w:val="ListBullet"/>
      </w:pPr>
      <w:r>
        <w:t>A concise date header may carry a trailing duration separated by a spaced double dash, such as 1991-09-21 -- 51:27. The duration is annotation and must not prevent the date from remaining valid header/date evidence.</w:t>
      </w:r>
    </w:p>
    <w:p>
      <w:pPr>
        <w:pStyle w:val="ListBullet"/>
      </w:pPr>
      <w:r>
        <w:t>Generic venue-list fallback must exclude concise comma-separated performer/personnel lists with three or more name-like entries unless the line itself parses as a location. A one-word venue of five or fewer normalized characters must stand alone or be supplied by an explicit Venue: field before generic fallback may use it. Thus Van in Townes Van Zandt is not venue evidence, while Van by itself or Venue: Van remains valid.</w:t>
      </w:r>
    </w:p>
    <w:p>
      <w:pPr>
        <w:pStyle w:val="ListBullet"/>
      </w:pPr>
      <w:r>
        <w:t>For a partial one-word Artist DB match at the beginning of a selected setlist filename, a date may establish strong filename structure only when the date is the first substantive component after the artist, allowing only normal filename separators between the artist and date. Thus Prince 1984-06-07, Prince - 1984-06-07, and Prince_1984-06-07 remain valid, while Two Gentlemen 1979-10-05, Live In Boston 1999-01-01, and The Wall 1980-08-09 must not promote Two, Live, or The merely because a date appears later.</w:t>
      </w:r>
    </w:p>
    <w:p>
      <w:pPr>
        <w:pStyle w:val="ListBullet"/>
      </w:pPr>
      <w:r>
        <w:t>The trailing full-state/region-name location parser must reject title-like text when the putative city fragment ends in a connective/preposition and there is no comma before the region. Two Gentlemen In New York must not become Location Two Gentlemen In, NY. Real location forms such as Albany New York remain valid.</w:t>
      </w:r>
    </w:p>
    <w:p>
      <w:pPr>
        <w:pStyle w:val="ListBullet"/>
      </w:pPr>
      <w:r>
        <w:t>Generic String2/path parsing must refuse to use a lone connective/preposition as a city. Two Gentlemen In, NY must not become Venue Two Gentlemen / City In / Region NY. Path and setlist location parsing must use the same shared connective-word definition so their decisions cannot drift.</w:t>
      </w:r>
    </w:p>
    <w:p>
      <w:pPr>
        <w:pStyle w:val="Heading1"/>
        <w:rPr/>
      </w:pPr>
      <w:r>
        <w:t>8. Compliant Mode</w:t>
      </w:r>
    </w:p>
    <w:p>
      <w:pPr>
        <w:pStyle w:val="Normal"/>
        <w:rPr/>
      </w:pPr>
      <w:r>
        <w:t>Compliant mode applies when --compliant is set. Compliant and Rename Compliantly are mutually exclusive.</w:t>
      </w:r>
    </w:p>
    <w:p>
      <w:pPr>
        <w:pStyle w:val="ListBullet"/>
        <w:numPr>
          <w:ilvl w:val="0"/>
          <w:numId w:val="1"/>
        </w:numPr>
        <w:rPr/>
      </w:pPr>
      <w:r>
        <w:t>Compliant mode must not read FLAC tags. ARTIST, ALBUMARTIST, ALBUM, and DATE tags must not be sampled, carried forward from old group logs, logged, or allowed to affect compliant-mode artist, date, venue, location, evidence, conflicts, observations, generated setlists, or show-name construction.</w:t>
      </w:r>
    </w:p>
    <w:p>
      <w:pPr>
        <w:pStyle w:val="Heading2"/>
        <w:rPr/>
      </w:pPr>
      <w:r>
        <w:t>8.1 Source Directory</w:t>
      </w:r>
    </w:p>
    <w:p>
      <w:pPr>
        <w:pStyle w:val="ListBullet"/>
        <w:numPr>
          <w:ilvl w:val="0"/>
          <w:numId w:val="1"/>
        </w:numPr>
        <w:rPr/>
      </w:pPr>
      <w:r>
        <w:t>Extract the last subdirectory name from the main directory name.</w:t>
      </w:r>
    </w:p>
    <w:p>
      <w:pPr>
        <w:pStyle w:val="Normal"/>
        <w:rPr/>
      </w:pPr>
      <w:r>
        <w:t>When compliant-mode media files are video files, check the path subdirectories associated with the video group for compliant folder patterns before falling back to the leaf folder name. The pattern checks must include String1 Date String2, the String1 - String2 Date boundary refinement, String1 - String2, and String1 Date. This allows video wrapper folders such as VIDEO_TS, AUDIO_TS, BDMV, CERTIFICATE, Video, DVD, BluRay, or Blu-Ray to resolve from a parent or other path subdirectory that carries the show name.</w:t>
      </w:r>
    </w:p>
    <w:p>
      <w:pPr>
        <w:pStyle w:val="Normal"/>
        <w:rPr/>
      </w:pPr>
      <w:r>
        <w:t>Apply the normal compliant pattern sequence to the first matching video path subdirectory text: String1 Date String2; then, if that fails and the text is String1 - String2, inspect String2 for one complete performance date at its beginning or end; then generic String1 - String2; then String1 Date. If no matching subdirectory pattern is found and the leaf folder is a standard video wrapper folder, the immediate parent directory may still be used as the compliant fallback text. The MP3 year special case remains audio-only and applies only when its separate conditions are met.</w:t>
      </w:r>
    </w:p>
    <w:p>
      <w:pPr>
        <w:pStyle w:val="Heading2"/>
        <w:rPr/>
      </w:pPr>
      <w:r>
        <w:t>8.2 String1 Date String2 (see Appendix E4)</w:t>
      </w:r>
    </w:p>
    <w:p>
      <w:pPr>
        <w:pStyle w:val="ListBullet"/>
        <w:numPr>
          <w:ilvl w:val="0"/>
          <w:numId w:val="1"/>
        </w:numPr>
        <w:rPr/>
      </w:pPr>
      <w:r>
        <w:t>Search for String1 Date String2 by first looking for a Date in yyyy-mm-dd form. If no yyyy-mm-dd match is present, look for an accepted year-range date. Only if those compliant-primary forms are absent may the broader historical date parser be used as a fallback.</w:t>
      </w:r>
    </w:p>
    <w:p>
      <w:pPr>
        <w:pStyle w:val="ListBullet"/>
        <w:numPr>
          <w:ilvl w:val="0"/>
          <w:numId w:val="1"/>
        </w:numPr>
        <w:rPr/>
      </w:pPr>
      <w:r>
        <w:t>When found, strip leading and trailing whitespace from String1 and treat the result as the candidate artist text.</w:t>
      </w:r>
    </w:p>
    <w:p>
      <w:pPr>
        <w:pStyle w:val="ListBullet"/>
        <w:numPr>
          <w:ilvl w:val="0"/>
          <w:numId w:val="1"/>
        </w:numPr>
        <w:rPr/>
      </w:pPr>
      <w:r>
        <w:t>The As-Is Artist Name setting controls output artist naming for both compliant and non-compliant metadata collection. By default, when a discovered artist or alias matches one Artist DB entry, TLO uses the database master artist name. When As-Is Artist Name is checked, TLO preserves the artist spelling and wording from the metadata source that identified the show while still using the Artist DB to recognize aliases and resolve matches.</w:t>
      </w:r>
    </w:p>
    <w:p>
      <w:pPr>
        <w:pStyle w:val="ListBullet"/>
        <w:numPr>
          <w:ilvl w:val="0"/>
          <w:numId w:val="1"/>
        </w:numPr>
        <w:rPr/>
      </w:pPr>
      <w:r>
        <w:t>If the Artist DB does not find one unambiguous master, use the artist text found in metadata and record the miss or collision as an observation rather than an unresolved reason.</w:t>
      </w:r>
    </w:p>
    <w:p>
      <w:pPr>
        <w:pStyle w:val="ListBullet"/>
        <w:numPr>
          <w:ilvl w:val="0"/>
          <w:numId w:val="1"/>
        </w:numPr>
        <w:rPr/>
      </w:pPr>
      <w:r>
        <w:t>TLO must not open a Master-versus-As-Is selection window or command-line prompt. The GUI uses the As-Is Artist Name checkbox, which defaults to unchecked. The CLI uses --as-is-artist-name. The hidden legacy --compliant-artist-mode master|as-is argument may remain accepted for compatibility but must not be documented in help output.</w:t>
      </w:r>
    </w:p>
    <w:p>
      <w:pPr>
        <w:pStyle w:val="ListBullet"/>
        <w:numPr>
          <w:ilvl w:val="0"/>
          <w:numId w:val="1"/>
        </w:numPr>
        <w:rPr/>
      </w:pPr>
      <w:r>
        <w:t>Strip parenthetical items from the end of String2, cache them in order, and save them in PARENTHETICALS.</w:t>
      </w:r>
    </w:p>
    <w:p>
      <w:pPr>
        <w:pStyle w:val="ListBullet"/>
        <w:numPr>
          <w:ilvl w:val="0"/>
          <w:numId w:val="1"/>
        </w:numPr>
        <w:rPr/>
      </w:pPr>
      <w:r>
        <w:t>String2 is also stored as ALBUM_NAME in compliant mode when used raw.</w:t>
      </w:r>
    </w:p>
    <w:p>
      <w:pPr>
        <w:pStyle w:val="ListBullet"/>
        <w:numPr>
          <w:ilvl w:val="0"/>
          <w:numId w:val="1"/>
        </w:numPr>
        <w:rPr/>
      </w:pPr>
      <w:r>
        <w:t>When --etree-lookup is false, do not parse, validate, or split String2 into venue/location fields. Use String2 exactly as found after trailing parenthetical extraction. The show name is Artist Date String2.</w:t>
      </w:r>
    </w:p>
    <w:p>
      <w:pPr>
        <w:pStyle w:val="Normal"/>
        <w:rPr/>
      </w:pPr>
      <w:r>
        <w:t>In compliant mode only, a folder-name date of the form yyyy-mm dd, such as 2014-04 18, is treated as a repairable separator typo during compliant pattern matching. Normalize it to yyyy-mm-dd in the Date field and show name, and record an observation that the compliant date separator repair was made.</w:t>
      </w:r>
    </w:p>
    <w:p>
      <w:pPr>
        <w:pStyle w:val="Heading2"/>
        <w:rPr/>
      </w:pPr>
      <w:r>
        <w:t>8.3 String1 - String2 Date and String1 - String2</w:t>
      </w:r>
    </w:p>
    <w:p>
      <w:pPr>
        <w:pStyle w:val="ListBullet"/>
        <w:numPr>
          <w:ilvl w:val="0"/>
          <w:numId w:val="1"/>
        </w:numPr>
        <w:rPr/>
      </w:pPr>
      <w:r>
        <w:t>If String1 Date String2 is not found, check for String1 - String2. Before accepting the generic dash fallback, inspect String2 for one complete performance date at a boundary. When a complete date is at the end of String2, normalize it into Date and keep the remaining leading String2 text as the raw album/show/venue tail. A complete date at the beginning of String2 is already covered by the higher-precedence String1 Date String2 form when trailing String2 text exists. Bare years, year ranges, partial dates, and dates embedded in the middle of String2 must not trigger this boundary-date refinement.</w:t>
      </w:r>
    </w:p>
    <w:p>
      <w:pPr>
        <w:pStyle w:val="ListBullet"/>
        <w:numPr>
          <w:ilvl w:val="0"/>
          <w:numId w:val="1"/>
        </w:numPr>
        <w:rPr/>
      </w:pPr>
      <w:r>
        <w:t>Use the run-wide As-Is Artist Name setting. By default, normalize String1 for Artist DB lookup and use the DB master name when matched. When As-Is Artist Name is checked, preserve String1 as the output artist name while still allowing the database match to identify the artist.</w:t>
      </w:r>
    </w:p>
    <w:p>
      <w:pPr>
        <w:pStyle w:val="ListBullet"/>
        <w:numPr>
          <w:ilvl w:val="0"/>
          <w:numId w:val="1"/>
        </w:numPr>
        <w:rPr/>
      </w:pPr>
      <w:r>
        <w:t>For the String1 - String2 Date refinement, Date is the normalized complete boundary date and the remaining String2 text is stored as ALBUM_NAME and raw venue/show text under the same no-venue/location-parsing rule used by compliant String2. Example: The Georgia Satellites - Santa Cruz 01-17-87 resolves to Artist The Georgia Satellites, Date 1987-01-17, String2 Santa Cruz, and Show The Georgia Satellites 1987-01-17 Santa Cruz. If the boundary-date refinement does not match, generic String1 - String2 assigns no Date and String2 remains the album/show tail. Artist output still follows the run-wide As-Is Artist Name setting.</w:t>
      </w:r>
    </w:p>
    <w:p>
      <w:pPr>
        <w:pStyle w:val="ListBullet"/>
        <w:numPr>
          <w:ilvl w:val="0"/>
          <w:numId w:val="1"/>
        </w:numPr>
        <w:rPr/>
      </w:pPr>
      <w:r>
        <w:t>If the Artist DB does not find one unambiguous master, use String1 as the artist and record the miss or collision as an observation.</w:t>
      </w:r>
    </w:p>
    <w:p>
      <w:pPr>
        <w:pStyle w:val="ListBullet"/>
        <w:numPr>
          <w:ilvl w:val="0"/>
          <w:numId w:val="1"/>
        </w:numPr>
        <w:rPr/>
      </w:pPr>
      <w:r>
        <w:t>For compliant String1 - String2 Date and generic String1 - String2 cases, treat the remaining String2 as the album name. Do not parse, validate, or split String2 into venue/location fields unless eTreeDB lookup succeeds under the online lookup rules.</w:t>
      </w:r>
    </w:p>
    <w:p>
      <w:pPr>
        <w:pStyle w:val="ListBullet"/>
        <w:numPr>
          <w:ilvl w:val="0"/>
          <w:numId w:val="1"/>
        </w:numPr>
        <w:rPr/>
      </w:pPr>
      <w:r>
        <w:t>For String1 - String2 Date, when --etree-lookup is false, the show name is Artist Date String2. For generic String1 - String2 there is no date and the show name is Artist - String2.</w:t>
      </w:r>
    </w:p>
    <w:p>
      <w:pPr>
        <w:pStyle w:val="ListBullet"/>
        <w:numPr>
          <w:ilvl w:val="0"/>
          <w:numId w:val="1"/>
        </w:numPr>
        <w:rPr/>
      </w:pPr>
      <w:r>
        <w:t>For the generic String1 - String2 compliant case, there is no date. Do not assign xxxx-xx-xx for the compliant extraction record or generated setlist content. This no-date rule does not apply when the String1 - String2 Date boundary refinement supplied a complete Date.</w:t>
      </w:r>
    </w:p>
    <w:p>
      <w:pPr>
        <w:pStyle w:val="ListBullet"/>
        <w:numPr>
          <w:ilvl w:val="0"/>
          <w:numId w:val="1"/>
        </w:numPr>
        <w:rPr/>
      </w:pPr>
      <w:r>
        <w:t>The generated setlist text filename for generic String1 - String2 with no parsed Date must include a dash between the sanitized Artist/String1 component and the sanitized String2 component: Artist-String2. String1 - String2 Date uses the normal dated setlist filename construction from Artist + Date + Venue + Location + Parentheticals.</w:t>
      </w:r>
    </w:p>
    <w:p>
      <w:pPr>
        <w:pStyle w:val="Heading2"/>
        <w:rPr/>
      </w:pPr>
      <w:r>
        <w:t>8.4 String1 Date</w:t>
      </w:r>
    </w:p>
    <w:p>
      <w:pPr>
        <w:pStyle w:val="ListBullet"/>
        <w:numPr>
          <w:ilvl w:val="0"/>
          <w:numId w:val="1"/>
        </w:numPr>
        <w:rPr/>
      </w:pPr>
      <w:r>
        <w:t>If String1 Date String2, String1 - String2 Date, and generic String1 - String2 are not found, check for String1 Date.</w:t>
      </w:r>
    </w:p>
    <w:p>
      <w:pPr>
        <w:pStyle w:val="ListBullet"/>
        <w:numPr>
          <w:ilvl w:val="0"/>
          <w:numId w:val="1"/>
        </w:numPr>
        <w:rPr/>
      </w:pPr>
      <w:r>
        <w:t>If found, String1 is the candidate artist and Date is the show date.</w:t>
      </w:r>
    </w:p>
    <w:p>
      <w:pPr>
        <w:pStyle w:val="ListBullet"/>
        <w:numPr>
          <w:ilvl w:val="0"/>
          <w:numId w:val="1"/>
        </w:numPr>
        <w:rPr/>
      </w:pPr>
      <w:r>
        <w:t>Use the run-wide As-Is Artist Name setting. By default, check String1 against the Artist DB and use the master name when matched; when As-Is Artist Name is checked, preserve String1 as the output name. Misses and collisions fall back to String1 with an observation.</w:t>
      </w:r>
    </w:p>
    <w:p>
      <w:pPr>
        <w:pStyle w:val="ListBullet"/>
        <w:numPr>
          <w:ilvl w:val="0"/>
          <w:numId w:val="1"/>
        </w:numPr>
        <w:rPr/>
      </w:pPr>
      <w:r>
        <w:t>No venue or location is assigned for this pattern.</w:t>
      </w:r>
    </w:p>
    <w:p>
      <w:pPr>
        <w:pStyle w:val="Heading2"/>
        <w:rPr/>
      </w:pPr>
      <w:r>
        <w:t>8.5 MP3 Year Folder Special Case</w:t>
      </w:r>
    </w:p>
    <w:p>
      <w:pPr>
        <w:pStyle w:val="Normal"/>
        <w:rPr/>
      </w:pPr>
      <w:r>
        <w:t>In compliant mode, after String1 Date String2, String1 - String2 Date, generic String1 - String2, and String1 Date all fail, if all inventoried music files found for the group are .mp3 files, the folder name is a four-digit year from 1959 through 2005 inclusive, and billboard appears somewhere in the folder path, case-insensitively, use that four-digit year as the complete Show name.</w:t>
      </w:r>
    </w:p>
    <w:p>
      <w:pPr>
        <w:pStyle w:val="Normal"/>
        <w:rPr/>
      </w:pPr>
      <w:r>
        <w:t>For this MP3 year special case, Artist, Date, Venue, and Location remain blank. The generated setlist filename is based on the year show name.</w:t>
      </w:r>
    </w:p>
    <w:p>
      <w:pPr>
        <w:pStyle w:val="Heading2"/>
        <w:rPr/>
      </w:pPr>
      <w:r>
        <w:t>8.6 Final Folder-Name Fallback</w:t>
      </w:r>
    </w:p>
    <w:p>
      <w:pPr>
        <w:pStyle w:val="ListBullet"/>
        <w:numPr>
          <w:ilvl w:val="0"/>
          <w:numId w:val="1"/>
        </w:numPr>
        <w:rPr/>
      </w:pPr>
      <w:r>
        <w:t>If none of the compliant patterns are found, use the folder name as the Show name.</w:t>
      </w:r>
    </w:p>
    <w:p>
      <w:pPr>
        <w:pStyle w:val="ListBullet"/>
        <w:numPr>
          <w:ilvl w:val="0"/>
          <w:numId w:val="1"/>
        </w:numPr>
        <w:rPr/>
      </w:pPr>
      <w:r>
        <w:t>For this fallback, Artist, Date, Venue, and Location remain blank.</w:t>
      </w:r>
    </w:p>
    <w:p>
      <w:pPr>
        <w:pStyle w:val="ListBullet"/>
        <w:numPr>
          <w:ilvl w:val="0"/>
          <w:numId w:val="1"/>
        </w:numPr>
        <w:rPr/>
      </w:pPr>
      <w:r>
        <w:t>The generated setlist text filename must be based on the Show name with normal setlist filename stripping.</w:t>
      </w:r>
    </w:p>
    <w:p>
      <w:pPr>
        <w:pStyle w:val="Heading2"/>
        <w:rPr/>
      </w:pPr>
      <w:r>
        <w:t>8.7 Compliant Artist Mode and DB Miss Rule</w:t>
      </w:r>
    </w:p>
    <w:p>
      <w:pPr>
        <w:pStyle w:val="ListBullet"/>
        <w:numPr>
          <w:ilvl w:val="0"/>
          <w:numId w:val="1"/>
        </w:numPr>
        <w:rPr/>
      </w:pPr>
      <w:r>
        <w:t>The main GUI includes an As-Is Artist Name checkbox. It applies to both compliant and non-compliant metadata collection and defaults to unchecked. The CLI accepts --as-is-artist-name.</w:t>
      </w:r>
    </w:p>
    <w:p>
      <w:pPr>
        <w:pStyle w:val="ListBullet"/>
        <w:numPr>
          <w:ilvl w:val="0"/>
          <w:numId w:val="1"/>
        </w:numPr>
        <w:rPr/>
      </w:pPr>
      <w:r>
        <w:t>With As-Is Artist Name unchecked, TLO checks the discovered artist against the Artist DB. If exactly one master is found, use the master name. If no master or multiple masters are found, use the discovered artist text and record an observation.</w:t>
      </w:r>
    </w:p>
    <w:p>
      <w:pPr>
        <w:pStyle w:val="ListBullet"/>
        <w:numPr>
          <w:ilvl w:val="0"/>
          <w:numId w:val="1"/>
        </w:numPr>
        <w:rPr/>
      </w:pPr>
      <w:r>
        <w:t>With As-Is Artist Name checked, preserve the artist text from the metadata source used to identify the show, including String1 in compliant patterns, audio tags, path matches, and selected setlist metadata. The Artist DB may still be used to recognize aliases and determine that the artist is known.</w:t>
      </w:r>
    </w:p>
    <w:p>
      <w:pPr>
        <w:pStyle w:val="Heading1"/>
        <w:rPr/>
      </w:pPr>
      <w:r>
        <w:t>9. Online Venue and Location Lookup</w:t>
      </w:r>
    </w:p>
    <w:p>
      <w:pPr>
        <w:pStyle w:val="ListBullet"/>
        <w:numPr>
          <w:ilvl w:val="0"/>
          <w:numId w:val="1"/>
        </w:numPr>
        <w:rPr/>
      </w:pPr>
      <w:r>
        <w:t>This section is the canonical definition of venue/location source precedence, usable-result criteria, lookup dependencies, and overwrite behavior. The normal order remains path, eTreeDB, selected setlist metadata, then setlist.fm. The only correction exception is the Build 375 rule permitting a higher-confidence selected-setlist venue/location component to replace a value supported solely by weaker path_part evidence. Appendices H and I contain service-specific query, response, and throttling details and must not restate the precedence rules.</w:t>
      </w:r>
    </w:p>
    <w:p>
      <w:pPr>
        <w:pStyle w:val="ListBullet"/>
        <w:numPr>
          <w:ilvl w:val="0"/>
          <w:numId w:val="1"/>
        </w:numPr>
        <w:rPr/>
      </w:pPr>
      <w:r>
        <w:t>In non-compliant mode, venue/location sources are applied in this order: path-derived metadata, eTreeDB, selected setlist metadata, and setlist.fm last. setlist.fm is eligible only when eTreeDB did not return a usable venue/location result for the current Artist and normalized Date. In compliant mode, selected setlist metadata is not used, so the order is path-derived metadata, eTreeDB, then setlist.fm when eligible.</w:t>
      </w:r>
    </w:p>
    <w:p>
      <w:pPr>
        <w:pStyle w:val="ListBullet"/>
        <w:numPr>
          <w:ilvl w:val="0"/>
          <w:numId w:val="1"/>
        </w:numPr>
        <w:rPr/>
      </w:pPr>
      <w:r>
        <w:t>Every source after path parsing fills blank VENUE, CITY, REGION, COUNTRY, and LOCATION fields only. It must not replace nonblank path-derived, heuristic, venue-list, or selected-setlist values. Non-equivalent disagreements are observations; equivalent values and token-boundary subset/superset values are not disagreements. Captured parentheticals remain appended to the final show name.</w:t>
      </w:r>
    </w:p>
    <w:p>
      <w:pPr>
        <w:pStyle w:val="ListBullet"/>
        <w:numPr>
          <w:ilvl w:val="0"/>
          <w:numId w:val="1"/>
        </w:numPr>
        <w:rPr/>
      </w:pPr>
      <w:r>
        <w:t>A usable online lookup result must match the requested normalized yyyy-mm-dd Date and provide enough data to construct a location: venue and city are required; United States results also require state/stateCode, and non-United States results require country. Incomplete results are observations and do not suppress later eligible sources.</w:t>
      </w:r>
    </w:p>
    <w:p>
      <w:pPr>
        <w:pStyle w:val="Normal"/>
        <w:rPr/>
      </w:pPr>
      <w:r>
        <w:t>--etree-lookup, --setlistfm-lookup, and --setlistfm-upgrade all default to false. The upgrade flag is effective only when setlist.fm lookup is enabled. setlist.fm may be enabled only when eTreeDB is enabled. Command-line startup with --setlistfm-lookup but without --etree-lookup is an error; the GUI must keep the dependency visible by restoring etreeDB when necessary.</w:t>
      </w:r>
    </w:p>
    <w:p>
      <w:pPr>
        <w:pStyle w:val="ListBullet"/>
        <w:numPr>
          <w:ilvl w:val="0"/>
          <w:numId w:val="1"/>
        </w:numPr>
        <w:rPr/>
      </w:pPr>
      <w:r>
        <w:t>eTreeDB resolves the exact artist using artistsRoot(name eq), queries the nested Artist.performances relationship filtered by year, normalizes returned dates locally, and matches the requested yyyy-mm-dd Date. The top-level performances(...) query must not be used. Detailed eTreeDB behavior is in Appendix H.</w:t>
      </w:r>
    </w:p>
    <w:p>
      <w:pPr>
        <w:pStyle w:val="ListBullet"/>
        <w:numPr>
          <w:ilvl w:val="0"/>
          <w:numId w:val="1"/>
        </w:numPr>
        <w:rPr/>
      </w:pPr>
      <w:r>
        <w:t>For tagging-title fallback only, the eTreeDB match may also provide set1, set2, and set3 when local title sources are unavailable. This title fallback does not alter inventory venue/location precedence or overwrite show metadata.</w:t>
      </w:r>
    </w:p>
    <w:p>
      <w:pPr>
        <w:pStyle w:val="ListBullet"/>
        <w:numPr>
          <w:ilvl w:val="0"/>
          <w:numId w:val="1"/>
        </w:numPr>
        <w:rPr/>
      </w:pPr>
      <w:r>
        <w:t>Lookup failures, no matches, invalid dates, and incomplete results must be recorded as observations and processing must continue with the next eligible source while retaining existing metadata.</w:t>
      </w:r>
    </w:p>
    <w:p>
      <w:pPr>
        <w:pStyle w:val="ListBullet"/>
        <w:numPr>
          <w:ilvl w:val="0"/>
          <w:numId w:val="1"/>
        </w:numPr>
        <w:rPr/>
      </w:pPr>
      <w:r>
        <w:t>setlist.fm requires Artist and a normalized yyyy-mm-dd Date. Detailed request construction, result selection, show-name construction, coordination state, throttling, lock timeout, and normal and upgraded quota rules are in Appendix I.</w:t>
      </w:r>
    </w:p>
    <w:p>
      <w:pPr>
        <w:pStyle w:val="ListBullet"/>
        <w:numPr>
          <w:ilvl w:val="0"/>
          <w:numId w:val="1"/>
        </w:numPr>
        <w:rPr/>
      </w:pPr>
      <w:r>
        <w:t>Compliant and non-compliant processing must call the same shared online-lookup functions so lookup behavior is maintained in one implementation path.</w:t>
      </w:r>
    </w:p>
    <w:p>
      <w:pPr>
        <w:pStyle w:val="Normal"/>
        <w:rPr/>
      </w:pPr>
      <w:r/>
    </w:p>
    <w:p>
      <w:pPr>
        <w:pStyle w:val="Heading1"/>
        <w:rPr/>
      </w:pPr>
      <w:r>
        <w:t>10. Unresolved Shows</w:t>
      </w:r>
    </w:p>
    <w:p>
      <w:pPr>
        <w:pStyle w:val="ListBullet"/>
        <w:numPr>
          <w:ilvl w:val="0"/>
          <w:numId w:val="1"/>
        </w:numPr>
        <w:rPr/>
      </w:pPr>
      <w:r>
        <w:t>If the artist is not identified, the show should be empty and the path should be added to the to-be-resolved list.</w:t>
      </w:r>
    </w:p>
    <w:p>
      <w:pPr>
        <w:pStyle w:val="ListBullet"/>
        <w:numPr>
          <w:ilvl w:val="0"/>
          <w:numId w:val="1"/>
        </w:numPr>
        <w:rPr/>
      </w:pPr>
      <w:r>
        <w:t>Maintain an overall running list of directories that do not resolve. Reasons include artist conflict, unable to identify artist, and date conflict. Missing date by itself is not unresolved when an artist is identified and no date conflict exists, except where a compliant-mode rule explicitly keeps the date blank.</w:t>
      </w:r>
    </w:p>
    <w:p>
      <w:pPr>
        <w:pStyle w:val="ListBullet"/>
        <w:numPr>
          <w:ilvl w:val="0"/>
          <w:numId w:val="1"/>
        </w:numPr>
        <w:rPr/>
      </w:pPr>
      <w:r>
        <w:t>Do not overwrite TLOHome/unidentifiedShows.txt on every run. The file is append/sort/dedupe only; paths that later resolve are not automatically removed unless a future cleanup requirement says so.</w:t>
      </w:r>
    </w:p>
    <w:p>
      <w:pPr>
        <w:pStyle w:val="ListBullet"/>
        <w:numPr>
          <w:ilvl w:val="0"/>
          <w:numId w:val="1"/>
        </w:numPr>
        <w:rPr/>
      </w:pPr>
      <w:r>
        <w:t>Append new unresolved paths, then at the end of the run sort the file alphabetically and remove duplicates.</w:t>
      </w:r>
    </w:p>
    <w:p>
      <w:pPr>
        <w:pStyle w:val="ListBullet"/>
        <w:numPr>
          <w:ilvl w:val="0"/>
          <w:numId w:val="1"/>
        </w:numPr>
        <w:rPr/>
      </w:pPr>
      <w:r>
        <w:t>If the artist is blank, do not include the show in the output CSV.</w:t>
      </w:r>
    </w:p>
    <w:p>
      <w:pPr>
        <w:pStyle w:val="ListBullet"/>
        <w:numPr>
          <w:ilvl w:val="0"/>
          <w:numId w:val="1"/>
        </w:numPr>
        <w:rPr/>
      </w:pPr>
      <w:r>
        <w:t>If the show name is blank, write the MAIN_DIR_PATH to TLOHome/unidentifiedShows.txt.</w:t>
      </w:r>
    </w:p>
    <w:p>
      <w:pPr>
        <w:pStyle w:val="ListBullet"/>
        <w:numPr>
          <w:ilvl w:val="0"/>
          <w:numId w:val="1"/>
        </w:numPr>
        <w:rPr/>
      </w:pPr>
      <w:r>
        <w:t>Postprocess must independently scan all meta*.log metadata records for blank SHOW_NAME values before or separately from bootlist row generation. If SHOW_NAME is blank and MAIN_DIR_PATH exists, the path must be written to TLOHome/unidentifiedShows.txt even if the conflict log did not capture the unresolved condition.</w:t>
      </w:r>
    </w:p>
    <w:p>
      <w:pPr>
        <w:pStyle w:val="ListBullet"/>
        <w:numPr>
          <w:ilvl w:val="0"/>
          <w:numId w:val="1"/>
        </w:numPr>
        <w:rPr/>
      </w:pPr>
      <w:r>
        <w:t>Blank-show reporting must not depend solely on whether a bootlist row is created, skipped, or reconstructed during aggregation. The unidentifiedShows.txt file must represent every metadata record with a blank SHOW_NAME.</w:t>
      </w:r>
    </w:p>
    <w:p>
      <w:pPr>
        <w:pStyle w:val="ListBullet"/>
        <w:numPr>
          <w:ilvl w:val="0"/>
          <w:numId w:val="1"/>
        </w:numPr>
        <w:rPr/>
      </w:pPr>
      <w:r>
        <w:t>The unidentifiedShows.txt format is one path per line with no delimiters, prefixes, or suffixes.</w:t>
      </w:r>
    </w:p>
    <w:p>
      <w:pPr>
        <w:pStyle w:val="Heading2"/>
        <w:rPr/>
      </w:pPr>
      <w:r>
        <w:t>10.1 Date Conflict and Missing Date Outcomes</w:t>
      </w:r>
    </w:p>
    <w:p>
      <w:pPr>
        <w:pStyle w:val="ListBullet"/>
        <w:numPr>
          <w:ilvl w:val="0"/>
          <w:numId w:val="1"/>
        </w:numPr>
        <w:rPr/>
      </w:pPr>
      <w:r>
        <w:t>Apply the following outcomes for missing dates, date conflicts, and unresolved handling.</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28"/>
        <w:gridCol w:w="1728"/>
        <w:gridCol w:w="1728"/>
        <w:gridCol w:w="1728"/>
        <w:gridCol w:w="1728"/>
      </w:tblGrid>
      <w:tr>
        <w:trPr/>
        <w:tc>
          <w:tcPr>
            <w:tcW w:w="1728" w:type="dxa"/>
            <w:tcBorders/>
          </w:tcPr>
          <w:p>
            <w:pPr>
              <w:pStyle w:val="Normal"/>
              <w:spacing w:before="0" w:after="0"/>
              <w:rPr/>
            </w:pPr>
            <w:r>
              <w:rPr>
                <w:sz w:val="16"/>
              </w:rPr>
              <w:t>Case</w:t>
            </w:r>
          </w:p>
        </w:tc>
        <w:tc>
          <w:tcPr>
            <w:tcW w:w="1728" w:type="dxa"/>
            <w:tcBorders/>
          </w:tcPr>
          <w:p>
            <w:pPr>
              <w:pStyle w:val="Normal"/>
              <w:spacing w:before="0" w:after="0"/>
              <w:rPr/>
            </w:pPr>
            <w:r>
              <w:rPr>
                <w:sz w:val="16"/>
              </w:rPr>
              <w:t>Artist identified?</w:t>
            </w:r>
          </w:p>
        </w:tc>
        <w:tc>
          <w:tcPr>
            <w:tcW w:w="1728" w:type="dxa"/>
            <w:tcBorders/>
          </w:tcPr>
          <w:p>
            <w:pPr>
              <w:pStyle w:val="Normal"/>
              <w:spacing w:before="0" w:after="0"/>
              <w:rPr/>
            </w:pPr>
            <w:r>
              <w:rPr>
                <w:sz w:val="16"/>
              </w:rPr>
              <w:t>Date found?</w:t>
            </w:r>
          </w:p>
        </w:tc>
        <w:tc>
          <w:tcPr>
            <w:tcW w:w="1728" w:type="dxa"/>
            <w:tcBorders/>
          </w:tcPr>
          <w:p>
            <w:pPr>
              <w:pStyle w:val="Normal"/>
              <w:spacing w:before="0" w:after="0"/>
              <w:rPr/>
            </w:pPr>
            <w:r>
              <w:rPr>
                <w:sz w:val="16"/>
              </w:rPr>
              <w:t>Date conflict?</w:t>
            </w:r>
          </w:p>
        </w:tc>
        <w:tc>
          <w:tcPr>
            <w:tcW w:w="1728" w:type="dxa"/>
            <w:tcBorders/>
          </w:tcPr>
          <w:p>
            <w:pPr>
              <w:pStyle w:val="Normal"/>
              <w:spacing w:before="0" w:after="0"/>
              <w:rPr/>
            </w:pPr>
            <w:r>
              <w:rPr>
                <w:sz w:val="16"/>
              </w:rPr>
              <w:t>Required result</w:t>
            </w:r>
          </w:p>
        </w:tc>
      </w:tr>
      <w:tr>
        <w:trPr/>
        <w:tc>
          <w:tcPr>
            <w:tcW w:w="1728" w:type="dxa"/>
            <w:tcBorders/>
          </w:tcPr>
          <w:p>
            <w:pPr>
              <w:pStyle w:val="Normal"/>
              <w:spacing w:before="0" w:after="0"/>
              <w:rPr/>
            </w:pPr>
            <w:r>
              <w:rPr>
                <w:sz w:val="16"/>
              </w:rPr>
              <w:t>A</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normalized date; create show name.</w:t>
            </w:r>
          </w:p>
        </w:tc>
      </w:tr>
      <w:tr>
        <w:trPr/>
        <w:tc>
          <w:tcPr>
            <w:tcW w:w="1728" w:type="dxa"/>
            <w:tcBorders/>
          </w:tcPr>
          <w:p>
            <w:pPr>
              <w:pStyle w:val="Normal"/>
              <w:spacing w:before="0" w:after="0"/>
              <w:rPr/>
            </w:pPr>
            <w:r>
              <w:rPr>
                <w:sz w:val="16"/>
              </w:rPr>
              <w:t>B</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Set date to xxxx-xx-xx; create show name.</w:t>
            </w:r>
          </w:p>
        </w:tc>
      </w:tr>
      <w:tr>
        <w:trPr/>
        <w:tc>
          <w:tcPr>
            <w:tcW w:w="1728" w:type="dxa"/>
            <w:tcBorders/>
          </w:tcPr>
          <w:p>
            <w:pPr>
              <w:pStyle w:val="Normal"/>
              <w:spacing w:before="0" w:after="0"/>
              <w:rPr/>
            </w:pPr>
            <w:r>
              <w:rPr>
                <w:sz w:val="16"/>
              </w:rPr>
              <w:t>C</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Leave date blank; mark unresolved due to date conflict; do not create show name.</w:t>
            </w:r>
          </w:p>
        </w:tc>
      </w:tr>
      <w:tr>
        <w:trPr/>
        <w:tc>
          <w:tcPr>
            <w:tcW w:w="1728" w:type="dxa"/>
            <w:tcBorders/>
          </w:tcPr>
          <w:p>
            <w:pPr>
              <w:pStyle w:val="Normal"/>
              <w:spacing w:before="0" w:after="0"/>
              <w:rPr/>
            </w:pPr>
            <w:r>
              <w:rPr>
                <w:sz w:val="16"/>
              </w:rPr>
              <w:t>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do not create show name.</w:t>
            </w:r>
          </w:p>
        </w:tc>
      </w:tr>
      <w:tr>
        <w:trPr/>
        <w:tc>
          <w:tcPr>
            <w:tcW w:w="1728" w:type="dxa"/>
            <w:tcBorders/>
          </w:tcPr>
          <w:p>
            <w:pPr>
              <w:pStyle w:val="Normal"/>
              <w:spacing w:before="0" w:after="0"/>
              <w:rPr/>
            </w:pPr>
            <w:r>
              <w:rPr>
                <w:sz w:val="16"/>
              </w:rPr>
              <w:t>E</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and missing date; do not create show name.</w:t>
            </w:r>
          </w:p>
        </w:tc>
      </w:tr>
      <w:tr>
        <w:trPr/>
        <w:tc>
          <w:tcPr>
            <w:tcW w:w="1728" w:type="dxa"/>
            <w:tcBorders/>
          </w:tcPr>
          <w:p>
            <w:pPr>
              <w:pStyle w:val="Normal"/>
              <w:spacing w:before="0" w:after="0"/>
              <w:rPr/>
            </w:pPr>
            <w:r>
              <w:rPr>
                <w:sz w:val="16"/>
              </w:rPr>
              <w:t>F</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Mark unresolved due to missing artist and date conflict; do not create show name.</w:t>
            </w:r>
          </w:p>
        </w:tc>
      </w:tr>
      <w:tr>
        <w:trPr/>
        <w:tc>
          <w:tcPr>
            <w:tcW w:w="1728" w:type="dxa"/>
            <w:tcBorders/>
          </w:tcPr>
          <w:p>
            <w:pPr>
              <w:pStyle w:val="Normal"/>
              <w:spacing w:before="0" w:after="0"/>
              <w:rPr/>
            </w:pPr>
            <w:r>
              <w:rPr>
                <w:sz w:val="16"/>
              </w:rPr>
              <w:t>G</w:t>
            </w:r>
          </w:p>
        </w:tc>
        <w:tc>
          <w:tcPr>
            <w:tcW w:w="1728" w:type="dxa"/>
            <w:tcBorders/>
          </w:tcPr>
          <w:p>
            <w:pPr>
              <w:pStyle w:val="Normal"/>
              <w:spacing w:before="0" w:after="0"/>
              <w:rPr/>
            </w:pPr>
            <w:r>
              <w:rPr>
                <w:sz w:val="16"/>
              </w:rPr>
              <w:t>Slam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slam artist; set date to xxxx-xx-xx; create show name.</w:t>
            </w:r>
          </w:p>
        </w:tc>
      </w:tr>
      <w:tr>
        <w:trPr/>
        <w:tc>
          <w:tcPr>
            <w:tcW w:w="1728" w:type="dxa"/>
            <w:tcBorders/>
          </w:tcPr>
          <w:p>
            <w:pPr>
              <w:pStyle w:val="Normal"/>
              <w:spacing w:before="0" w:after="0"/>
              <w:rPr/>
            </w:pPr>
            <w:r>
              <w:rPr>
                <w:sz w:val="16"/>
              </w:rPr>
              <w:t>H</w:t>
            </w:r>
          </w:p>
        </w:tc>
        <w:tc>
          <w:tcPr>
            <w:tcW w:w="1728" w:type="dxa"/>
            <w:tcBorders/>
          </w:tcPr>
          <w:p>
            <w:pPr>
              <w:pStyle w:val="Normal"/>
              <w:spacing w:before="0" w:after="0"/>
              <w:rPr/>
            </w:pPr>
            <w:r>
              <w:rPr>
                <w:sz w:val="16"/>
              </w:rPr>
              <w:t>Tag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tag artist; set date to xxxx-xx-xx; create show name.</w:t>
            </w:r>
          </w:p>
        </w:tc>
      </w:tr>
      <w:tr>
        <w:trPr/>
        <w:tc>
          <w:tcPr>
            <w:tcW w:w="1728" w:type="dxa"/>
            <w:tcBorders/>
          </w:tcPr>
          <w:p>
            <w:pPr>
              <w:pStyle w:val="Normal"/>
              <w:spacing w:before="0" w:after="0"/>
              <w:rPr/>
            </w:pPr>
            <w:r>
              <w:rPr>
                <w:sz w:val="16"/>
              </w:rPr>
              <w:t>I</w:t>
            </w:r>
          </w:p>
        </w:tc>
        <w:tc>
          <w:tcPr>
            <w:tcW w:w="1728" w:type="dxa"/>
            <w:tcBorders/>
          </w:tcPr>
          <w:p>
            <w:pPr>
              <w:pStyle w:val="Normal"/>
              <w:spacing w:before="0" w:after="0"/>
              <w:rPr/>
            </w:pPr>
            <w:r>
              <w:rPr>
                <w:sz w:val="16"/>
              </w:rPr>
              <w:t>Compliant String1 - String2</w:t>
            </w:r>
          </w:p>
        </w:tc>
        <w:tc>
          <w:tcPr>
            <w:tcW w:w="1728" w:type="dxa"/>
            <w:tcBorders/>
          </w:tcPr>
          <w:p>
            <w:pPr>
              <w:pStyle w:val="Normal"/>
              <w:spacing w:before="0" w:after="0"/>
              <w:rPr/>
            </w:pPr>
            <w:r>
              <w:rPr>
                <w:sz w:val="16"/>
              </w:rPr>
              <w:t>No date by pattern</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Do not assign xxxx-xx-xx; show name is Artist - String2.</w:t>
            </w:r>
          </w:p>
        </w:tc>
      </w:tr>
      <w:tr>
        <w:trPr/>
        <w:tc>
          <w:tcPr>
            <w:tcW w:w="1728" w:type="dxa"/>
            <w:tcBorders/>
          </w:tcPr>
          <w:p>
            <w:pPr>
              <w:pStyle w:val="Normal"/>
              <w:spacing w:before="0" w:after="0"/>
              <w:rPr/>
            </w:pPr>
            <w:r>
              <w:rPr>
                <w:sz w:val="16"/>
              </w:rPr>
              <w:t>J</w:t>
            </w:r>
          </w:p>
        </w:tc>
        <w:tc>
          <w:tcPr>
            <w:tcW w:w="1728" w:type="dxa"/>
            <w:tcBorders/>
          </w:tcPr>
          <w:p>
            <w:pPr>
              <w:pStyle w:val="Normal"/>
              <w:spacing w:before="0" w:after="0"/>
              <w:rPr/>
            </w:pPr>
            <w:r>
              <w:rPr>
                <w:sz w:val="16"/>
              </w:rPr>
              <w:t>Compliant final folder fallback</w:t>
            </w:r>
          </w:p>
        </w:tc>
        <w:tc>
          <w:tcPr>
            <w:tcW w:w="1728" w:type="dxa"/>
            <w:tcBorders/>
          </w:tcPr>
          <w:p>
            <w:pPr>
              <w:pStyle w:val="Normal"/>
              <w:spacing w:before="0" w:after="0"/>
              <w:rPr/>
            </w:pPr>
            <w:r>
              <w:rPr>
                <w:sz w:val="16"/>
              </w:rPr>
              <w:t>No structured metadata</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folder name as Show name; leave Artist, Date, Venue, and Location blank.</w:t>
            </w:r>
          </w:p>
        </w:tc>
      </w:tr>
    </w:tbl>
    <w:p>
      <w:pPr>
        <w:pStyle w:val="Heading1"/>
        <w:rPr/>
      </w:pPr>
      <w:r>
        <w:t>11. Aggregator Requirements</w:t>
      </w:r>
    </w:p>
    <w:p>
      <w:pPr>
        <w:pStyle w:val="ListBullet"/>
        <w:numPr>
          <w:ilvl w:val="0"/>
          <w:numId w:val="1"/>
        </w:numPr>
        <w:rPr/>
      </w:pPr>
      <w:r>
        <w:t>Generated setlist filenames must preserve parentheses. Captured parentheticals must be included in the filename base when present.</w:t>
      </w:r>
    </w:p>
    <w:p>
      <w:pPr>
        <w:pStyle w:val="ListBullet"/>
        <w:numPr>
          <w:ilvl w:val="0"/>
          <w:numId w:val="1"/>
        </w:numPr>
        <w:rPr/>
      </w:pPr>
      <w:r>
        <w:t>The aggregator must read all matching meta*.log files in the output directory, not only logs from the current run.</w:t>
      </w:r>
    </w:p>
    <w:p>
      <w:pPr>
        <w:pStyle w:val="ListBullet"/>
        <w:numPr>
          <w:ilvl w:val="0"/>
          <w:numId w:val="1"/>
        </w:numPr>
        <w:rPr/>
      </w:pPr>
      <w:r>
        <w:t>If the date is blank but the artist is defined and no date conflict exists, set the date to xxxx-xx-xx and establish the show name, except for compliant String1 - String2, non-compliant String1 - String2 album fallback, and compliant final folder fallback cases defined in Section 10.1.</w:t>
      </w:r>
    </w:p>
    <w:p>
      <w:pPr>
        <w:pStyle w:val="ListBullet"/>
        <w:numPr>
          <w:ilvl w:val="0"/>
          <w:numId w:val="1"/>
        </w:numPr>
        <w:rPr/>
      </w:pPr>
      <w:r>
        <w:t>If a show name is established, append a space and PARENTHETICALS to the end of the show name, preserving multiple parentheticals in their original order. This is a universal finalization rule for compliant and non-compliant show-name construction, including String1 Date, String1 Date String2, String1 - String2, lookup-enriched names, Add Shows records, Dry run output, bootlist rows, folder renames, generated setlists, and audio Album tags. Path cleanup must never discard the cached value. For example, Danny Gatton 1994-03-13 Bottom Line NYC (set 2) resolves to Danny Gatton 1994-03-13 Bottom Line New York, NY (set 2).</w:t>
      </w:r>
    </w:p>
    <w:p>
      <w:pPr>
        <w:pStyle w:val="ListBullet"/>
        <w:numPr>
          <w:ilvl w:val="0"/>
          <w:numId w:val="1"/>
        </w:numPr>
        <w:rPr/>
      </w:pPr>
      <w:r>
        <w:t>The aggregator must continue to work with short token metadata logs such as metaX.log.</w:t>
      </w:r>
    </w:p>
    <w:p>
      <w:pPr>
        <w:pStyle w:val="ListBullet"/>
        <w:numPr>
          <w:ilvl w:val="0"/>
          <w:numId w:val="1"/>
        </w:numPr>
        <w:rPr/>
      </w:pPr>
      <w:r>
        <w:t>The aggregator must read all matching meta*.log files from TLOHome/logs.</w:t>
      </w:r>
    </w:p>
    <w:p>
      <w:pPr>
        <w:pStyle w:val="ListBullet"/>
        <w:numPr>
          <w:ilvl w:val="0"/>
          <w:numId w:val="1"/>
        </w:numPr>
        <w:rPr/>
      </w:pPr>
      <w:r>
        <w:t>For every non-skipped bootlist row, postprocess must resolve an exported setlist .txt file under TLOHome/setlists. bootlist.csv must contain exactly two caret-separated data columns after the sep=^ line: column 1 is Show, and column 2 is VolumePath formatted as [Volume] Path, where Path is stored without the drive letter or WSL /mnt/&lt;drive&gt; prefix. The exported setlist filename remains generated and resolved under TLOHome/setlists, but bootlist.csv must not include separate Setlist, Volume, or Path columns. Deterministic volume/path replacement controls which previous rows are kept: exact or parent re-inventory replaces rows under the replaced scope, child re-inventory replaces rows under the child scope, non-overlapping same-volume paths preserve unrelated rows, and blank-label runs append without replacement. If the generated setlist filename collides with an existing TLOHome/setlists file, compare file sizes only, not file contents. If the existing file size matches the size the new exported setlist would write, assume the files are identical; do not write an alternate file and resolve the new row to the existing filename. If the sizes differ, write the new file with (altN) appended to the base filename before .txt, where N is one greater than the highest existing alternate number for that base. The prior plain trailing-integer and (dupN) collision suffixes are not used for new generated setlist files.</w:t>
      </w:r>
    </w:p>
    <w:p>
      <w:pPr>
        <w:pStyle w:val="ListBullet"/>
        <w:numPr>
          <w:ilvl w:val="0"/>
          <w:numId w:val="1"/>
        </w:numPr>
        <w:rPr/>
      </w:pPr>
      <w:r>
        <w:t>For aggregated wrapper-part records, postprocess must export one setlist file per bootlist row using the concatenation and de-duplication rules in Section 7.19.</w:t>
      </w:r>
    </w:p>
    <w:p>
      <w:pPr>
        <w:pStyle w:val="ListBullet"/>
        <w:numPr>
          <w:ilvl w:val="0"/>
          <w:numId w:val="1"/>
        </w:numPr>
        <w:rPr/>
      </w:pPr>
      <w:r>
        <w:t>The aggregator must use meta*.log as an independent source for blank-show reporting (see Section 10).</w:t>
      </w:r>
    </w:p>
    <w:p>
      <w:pPr>
        <w:pStyle w:val="Heading1"/>
        <w:rPr/>
      </w:pPr>
      <w:r>
        <w:t>12. Logging Requirements (see Appendix E8)</w:t>
      </w:r>
    </w:p>
    <w:p>
      <w:pPr>
        <w:pStyle w:val="ListBullet"/>
        <w:numPr>
          <w:ilvl w:val="0"/>
          <w:numId w:val="1"/>
        </w:numPr>
        <w:rPr/>
      </w:pPr>
      <w:r>
        <w:t>All inventory log files must be written under TLOHome/logs instead of directly under TLOHome.</w:t>
      </w:r>
    </w:p>
    <w:p>
      <w:pPr>
        <w:pStyle w:val="ListBullet"/>
      </w:pPr>
      <w:r>
        <w:t>Maintain one append-only settings log at TLOHome/logs/runSettings.log for every started Full Inventory, Tag, Process New Shows, and Process Potential Duplicate/Upgrades action, including Dry runs and command-line Inventory or Tag runs. The first line of each entry must identify the action, local date, and local time. The following lines must reproduce the same operation, path, main-window checkbox values, action-specific settings, performance or destination information, and original-file-change statement shown in the Review Operation confirmation window. Separate entries with a blank line. A GUI entry is appended only after the user chooses Start; choosing Go Back or closing the confirmation window must not create an entry. If the settings entry cannot be written, the operation must not start and the user must receive a readable error.</w:t>
      </w:r>
    </w:p>
    <w:p>
      <w:pPr>
        <w:pStyle w:val="ListBullet"/>
        <w:numPr>
          <w:ilvl w:val="0"/>
          <w:numId w:val="1"/>
        </w:numPr>
        <w:rPr/>
      </w:pPr>
      <w:r>
        <w:t>The short tokenized log names remain unchanged inside TLOHome/logs: confX.log, deadX.log, compX.log, dupsX.log, groupsX.log, metaX.log, tagsX.txt, and tageX.txt.</w:t>
      </w:r>
    </w:p>
    <w:p>
      <w:r>
        <w:t>Each SHOW_NAME metadata entry written to meta*.log must include a per-entry switches line immediately after SHOW_IN_CONFLICT. The line starts with "Switches --" and records the effective settings for that inventory item, including Action, Compliant, As-Is Artist Name, Tag, Tag in Place, Tag Copy, Tag Copy/Delete Original, Rename Compliantly, Convert shn, Artist in Album, etreeDB, setlist.fm, and setlist.fm upgrade. Example: "Switches -- Action: Full Inventory; Compliant: yes; As-Is Artist Name: no; Tag: yes; Tag in Place: yes; Tag Copy: no; Tag Copy/Delete Original: no; Rename Compliantly: no; Convert shn: yes; etreeDB: yes; setlist.fm: no;". Add Shows entries use Action: Add Shows and record only settings active for that Add Shows item.</w:t>
      </w:r>
    </w:p>
    <w:p>
      <w:pPr>
        <w:pStyle w:val="ListBullet"/>
        <w:numPr>
          <w:ilvl w:val="0"/>
          <w:numId w:val="1"/>
        </w:numPr>
        <w:rPr/>
      </w:pPr>
      <w:r>
        <w:t>Token allocation must check TLOHome/logs for collisions.</w:t>
      </w:r>
    </w:p>
    <w:p>
      <w:pPr>
        <w:pStyle w:val="ListBullet"/>
        <w:numPr>
          <w:ilvl w:val="0"/>
          <w:numId w:val="1"/>
        </w:numPr>
        <w:rPr/>
      </w:pPr>
      <w:r>
        <w:t>Ctrl-C and GUI Quit cleanup must delete active-run tokenized logs from TLOHome/logs.</w:t>
      </w:r>
    </w:p>
    <w:p>
      <w:pPr>
        <w:pStyle w:val="ListBullet"/>
        <w:numPr>
          <w:ilvl w:val="0"/>
          <w:numId w:val="1"/>
        </w:numPr>
        <w:rPr/>
      </w:pPr>
      <w:r>
        <w:t>Postprocess must create TLOHome/logs/summary.log.</w:t>
      </w:r>
    </w:p>
    <w:p>
      <w:pPr>
        <w:pStyle w:val="ListBullet"/>
        <w:numPr>
          <w:ilvl w:val="0"/>
          <w:numId w:val="1"/>
        </w:numPr>
        <w:rPr/>
      </w:pPr>
      <w:r>
        <w:t>summary.log must consolidate conflict entries from all conf*.log files in TLOHome/logs and unresolved blank-show metadata records from all meta*.log files. Conflict entries should include the source conflict-log filename, search path when known, and the conflict text. Blank-show entries should include the MAIN_DIR_PATH and the reason, including blank SHOW_NAME and, when applicable, blank ARTIST or SHOW_IN_CONFLICT=yes.</w:t>
      </w:r>
    </w:p>
    <w:p>
      <w:pPr>
        <w:pStyle w:val="ListBullet"/>
        <w:numPr>
          <w:ilvl w:val="0"/>
          <w:numId w:val="1"/>
        </w:numPr>
        <w:rPr/>
      </w:pPr>
      <w:r>
        <w:t>Use short anchor log filenames that do not include the search path in the filename. (see Appendix E8)</w:t>
      </w:r>
    </w:p>
    <w:p>
      <w:pPr>
        <w:pStyle w:val="ListBullet"/>
        <w:numPr>
          <w:ilvl w:val="0"/>
          <w:numId w:val="1"/>
        </w:numPr>
        <w:rPr/>
      </w:pPr>
      <w:r>
        <w:t>X is a single letter or number from 0-9 or A-Z that keeps filenames unique across the current set of active search paths.</w:t>
      </w:r>
    </w:p>
    <w:p>
      <w:pPr>
        <w:pStyle w:val="ListBullet"/>
        <w:numPr>
          <w:ilvl w:val="0"/>
          <w:numId w:val="1"/>
        </w:numPr>
        <w:rPr/>
      </w:pPr>
      <w:r>
        <w:t>Before starting workers, check the output directory to avoid filename collisions. If a run would require more than the 36 available one-character tokens, or if existing logs leave too few available one-character tokens, report a readable startup error before writing any tokenized logs.</w:t>
      </w:r>
    </w:p>
    <w:p>
      <w:pPr>
        <w:pStyle w:val="ListBullet"/>
        <w:numPr>
          <w:ilvl w:val="0"/>
          <w:numId w:val="1"/>
        </w:numPr>
        <w:rPr/>
      </w:pPr>
      <w:r>
        <w:t>Choose token values by visible volume label. One token may represent multiple non-overlapping paths on the same visible volume. The top of each tokenized log must list one SEARCH_PATH line for each stored rootless path in that token. The visible search path format is [Volume] Path, where Volume is the normalized bracketed value or operating-system volume label, and Path excludes the drive letter or WSL /mnt/&lt;drive&gt; prefix. If the visible volume is blank, write SEARCH_PATH: [] with no path.</w:t>
      </w:r>
    </w:p>
    <w:p>
      <w:pPr>
        <w:pStyle w:val="ListBullet"/>
        <w:numPr>
          <w:ilvl w:val="0"/>
          <w:numId w:val="1"/>
        </w:numPr>
        <w:rPr/>
      </w:pPr>
      <w:r>
        <w:t>Pass the token to workers so workers access the correct log files.</w:t>
      </w:r>
    </w:p>
    <w:p>
      <w:pPr>
        <w:pStyle w:val="ListBullet"/>
        <w:numPr>
          <w:ilvl w:val="0"/>
          <w:numId w:val="1"/>
        </w:numPr>
        <w:rPr/>
      </w:pPr>
      <w:r>
        <w:t>Assume only one instance of inventory is running at a time. The supported concurrency model is workers within one inventory run, not multiple independent inventory runs sharing the same TLOHome/logs directory.</w:t>
      </w:r>
    </w:p>
    <w:p>
      <w:pPr>
        <w:pStyle w:val="ListBullet"/>
        <w:numPr>
          <w:ilvl w:val="0"/>
          <w:numId w:val="1"/>
        </w:numPr>
        <w:rPr/>
      </w:pPr>
      <w:r>
        <w:t>Put a descriptive header at the start of each log file. If a token covers multiple non-overlapping paths on the same visible volume, the header may list multiple paths; if the visible volume label is blank, the header must not include a path.</w:t>
      </w:r>
    </w:p>
    <w:p>
      <w:pPr>
        <w:pStyle w:val="ListBullet"/>
        <w:numPr>
          <w:ilvl w:val="0"/>
          <w:numId w:val="1"/>
        </w:numPr>
        <w:rPr/>
      </w:pPr>
      <w:r>
        <w:t>The dispatcher should know the tokenized log filenames so it can delete them during Ctrl-C or Quit cleanup when necessary.</w:t>
      </w:r>
    </w:p>
    <w:p>
      <w:pPr>
        <w:pStyle w:val="Normal"/>
        <w:rPr/>
      </w:pPr>
      <w:r>
        <w:t>confX.log</w:t>
      </w:r>
    </w:p>
    <w:p>
      <w:pPr>
        <w:pStyle w:val="Normal"/>
        <w:rPr/>
      </w:pPr>
      <w:r>
        <w:t>deadX.log</w:t>
      </w:r>
    </w:p>
    <w:p>
      <w:pPr>
        <w:pStyle w:val="Normal"/>
        <w:rPr/>
      </w:pPr>
      <w:r>
        <w:t>compX.log</w:t>
      </w:r>
    </w:p>
    <w:p>
      <w:pPr>
        <w:pStyle w:val="Normal"/>
        <w:rPr/>
      </w:pPr>
      <w:r>
        <w:t>dupsX.log</w:t>
      </w:r>
    </w:p>
    <w:p>
      <w:pPr>
        <w:pStyle w:val="Normal"/>
        <w:rPr/>
      </w:pPr>
      <w:r>
        <w:t>groupsX.log</w:t>
      </w:r>
    </w:p>
    <w:p>
      <w:pPr>
        <w:pStyle w:val="Normal"/>
        <w:rPr/>
      </w:pPr>
      <w:r>
        <w:t>metaX.log</w:t>
      </w:r>
    </w:p>
    <w:p>
      <w:pPr>
        <w:pStyle w:val="Normal"/>
        <w:rPr/>
      </w:pPr>
      <w:r>
        <w:t>tagsX.txt and tageX.txt</w:t>
      </w:r>
    </w:p>
    <w:p>
      <w:pPr>
        <w:pStyle w:val="Heading1"/>
        <w:rPr/>
      </w:pPr>
      <w:r>
        <w:t>13. Command Line Requirements for tlo-gi.py</w:t>
      </w:r>
    </w:p>
    <w:p>
      <w:pPr>
        <w:pStyle w:val="ListBullet"/>
        <w:numPr>
          <w:ilvl w:val="0"/>
          <w:numId w:val="1"/>
        </w:numPr>
        <w:rPr/>
      </w:pPr>
      <w:r>
        <w:t>For a single --search-path command-line run, --$slam STRING and legacy -$slam STRING apply the slam artist to that one search path.</w:t>
      </w:r>
    </w:p>
    <w:p>
      <w:pPr>
        <w:pStyle w:val="ListBullet"/>
        <w:numPr>
          <w:ilvl w:val="0"/>
          <w:numId w:val="1"/>
        </w:numPr>
        <w:rPr/>
      </w:pPr>
      <w:r>
        <w:t>For a single --search-path command-line run, --$copy DIR applies Tag Copy to that one search path, using DIR as the destination parent.</w:t>
      </w:r>
    </w:p>
    <w:p>
      <w:pPr>
        <w:pStyle w:val="ListBullet"/>
        <w:numPr>
          <w:ilvl w:val="0"/>
          <w:numId w:val="1"/>
        </w:numPr>
        <w:rPr/>
      </w:pPr>
      <w:r>
        <w:t>For a single --search-path command-line run, --$copy-delete DIR applies Tag Copy/Delete Original to that one search path, using DIR as the destination parent.</w:t>
      </w:r>
    </w:p>
    <w:p>
      <w:pPr>
        <w:pStyle w:val="ListBullet"/>
        <w:numPr>
          <w:ilvl w:val="0"/>
          <w:numId w:val="1"/>
        </w:numPr>
        <w:rPr/>
      </w:pPr>
      <w:r>
        <w:t>--$copy and --$copy-delete are mutually exclusive for one --search-path. If either is supplied without --search-path, startup must report an error and exit.</w:t>
      </w:r>
    </w:p>
    <w:p>
      <w:pPr>
        <w:pStyle w:val="ListBullet"/>
        <w:numPr>
          <w:ilvl w:val="0"/>
          <w:numId w:val="1"/>
        </w:numPr>
        <w:rPr/>
      </w:pPr>
      <w:r>
        <w:t>Command-line copy/copy-delete destinations must follow the same startup capacity rules as toBeInventoried.txt destinations: ordinary copy always receives exact source-size preflight, while Copy/Delete Original receives it only when source and destination are on different filesystems.</w:t>
      </w:r>
    </w:p>
    <w:p>
      <w:pPr>
        <w:pStyle w:val="ListBullet"/>
        <w:numPr>
          <w:ilvl w:val="0"/>
          <w:numId w:val="1"/>
        </w:numPr>
        <w:rPr/>
      </w:pPr>
      <w:r>
        <w:t>--setlistfm-lookup command-line gating and online lookup behavior are defined in Section 9; this section lists the CLI-facing options and startup validation requirements.</w:t>
      </w:r>
    </w:p>
    <w:p>
      <w:pPr>
        <w:pStyle w:val="ListBullet"/>
        <w:numPr>
          <w:ilvl w:val="0"/>
          <w:numId w:val="1"/>
        </w:numPr>
        <w:rPr/>
      </w:pPr>
      <w:r>
        <w:t>setlist.fm lookup uses the SETLISTFM_API_KEY environment variable and must not expose or write the API key to logs.</w:t>
      </w:r>
    </w:p>
    <w:p>
      <w:pPr>
        <w:pStyle w:val="ListBullet"/>
        <w:numPr>
          <w:ilvl w:val="0"/>
          <w:numId w:val="1"/>
        </w:numPr>
        <w:rPr/>
      </w:pPr>
      <w:r>
        <w:t>--compliant defaults to false.</w:t>
      </w:r>
    </w:p>
    <w:p>
      <w:pPr>
        <w:pStyle w:val="ListBullet"/>
        <w:numPr>
          <w:ilvl w:val="0"/>
          <w:numId w:val="1"/>
        </w:numPr>
        <w:rPr/>
      </w:pPr>
      <w:r>
        <w:t>--etree-lookup defaults to false. When true, both non-compliant and compliant modes perform an eTreeDB venue/location lookup after Artist and yyyy-mm-dd Date are identified.</w:t>
      </w:r>
    </w:p>
    <w:p>
      <w:pPr>
        <w:pStyle w:val="ListBullet"/>
        <w:numPr>
          <w:ilvl w:val="0"/>
          <w:numId w:val="1"/>
        </w:numPr>
        <w:rPr/>
      </w:pPr>
      <w:r>
        <w:t>--TLOHome overrides the TLOHome environment variable.</w:t>
      </w:r>
    </w:p>
    <w:p>
      <w:pPr>
        <w:pStyle w:val="ListBullet"/>
        <w:numPr>
          <w:ilvl w:val="0"/>
          <w:numId w:val="1"/>
        </w:numPr>
        <w:rPr/>
      </w:pPr>
      <w:r>
        <w:t>--myTLO behavior and precedence are defined in Section 2.3.</w:t>
      </w:r>
    </w:p>
    <w:p>
      <w:pPr>
        <w:pStyle w:val="ListBullet"/>
        <w:numPr>
          <w:ilvl w:val="0"/>
          <w:numId w:val="1"/>
        </w:numPr>
        <w:rPr/>
      </w:pPr>
      <w:r>
        <w:t>-$slam is valid only with --search-path.</w:t>
      </w:r>
    </w:p>
    <w:p>
      <w:pPr>
        <w:pStyle w:val="ListBullet"/>
        <w:numPr>
          <w:ilvl w:val="0"/>
          <w:numId w:val="1"/>
        </w:numPr>
        <w:rPr/>
      </w:pPr>
      <w:r>
        <w:t>Anything written to the console is blocked only when --silent is set.</w:t>
      </w:r>
    </w:p>
    <w:p>
      <w:pPr>
        <w:pStyle w:val="ListBullet"/>
        <w:numPr>
          <w:ilvl w:val="0"/>
          <w:numId w:val="1"/>
        </w:numPr>
        <w:rPr/>
      </w:pPr>
      <w:r>
        <w:t>Removed arguments must not be present or affect output: --verbose, --flat, --full-logs, --suppress-header, and --interval.</w:t>
      </w:r>
    </w:p>
    <w:p>
      <w:pPr>
        <w:pStyle w:val="ListBullet"/>
        <w:numPr>
          <w:ilvl w:val="0"/>
          <w:numId w:val="1"/>
        </w:numPr>
        <w:rPr/>
      </w:pPr>
      <w:r>
        <w:t>--performance-mode MODE is valid with gentle, balanced, fast, and extreme. CLI default is balanced.</w:t>
      </w:r>
    </w:p>
    <w:p>
      <w:pPr>
        <w:pStyle w:val="ListBullet"/>
        <w:numPr>
          <w:ilvl w:val="0"/>
          <w:numId w:val="1"/>
        </w:numPr>
        <w:rPr/>
      </w:pPr>
      <w:r>
        <w:t>--max-workers N is valid with N &gt;= 0. Zero, performance-mode defaults, extreme-mode display, and parallelizable volume-group caps are defined in Section 2.10.</w:t>
      </w:r>
    </w:p>
    <w:p>
      <w:pPr>
        <w:pStyle w:val="ListBullet"/>
        <w:numPr>
          <w:ilvl w:val="0"/>
          <w:numId w:val="1"/>
        </w:numPr>
        <w:rPr/>
      </w:pPr>
      <w:r>
        <w:t>--tag-during-inventory is valid with no value and defaults to false. When supplied, full inventory Stage 3 tags music files in place and writes concise results to tagsN.txt/tageN.txt under TLOHome/logs. It is mutually exclusive with --tag-copy-during-inventory.</w:t>
      </w:r>
    </w:p>
    <w:p>
      <w:pPr>
        <w:pStyle w:val="ListBullet"/>
        <w:numPr>
          <w:ilvl w:val="0"/>
          <w:numId w:val="1"/>
        </w:numPr>
        <w:rPr/>
      </w:pPr>
      <w:r>
        <w:t>--tag-copy-during-inventory is valid with no value and defaults to false. It requires an existing fully qualified --tag-copy-destination DIR and tags copies while keeping the original source tree as the inventoried location. It is mutually exclusive with --tag-during-inventory.</w:t>
      </w:r>
    </w:p>
    <w:p>
      <w:pPr>
        <w:pStyle w:val="ListBullet"/>
        <w:numPr>
          <w:ilvl w:val="0"/>
          <w:numId w:val="1"/>
        </w:numPr>
        <w:rPr/>
      </w:pPr>
      <w:r>
        <w:t>--tag-copy-and-delete DIR selects the copy/move, verify, delete-original, and tag-destination workflow. DIR must be an existing fully qualified destination and must pass the startup capacity check.</w:t>
      </w:r>
    </w:p>
    <w:p>
      <w:pPr>
        <w:pStyle w:val="ListBullet"/>
        <w:numPr>
          <w:ilvl w:val="0"/>
          <w:numId w:val="1"/>
        </w:numPr>
        <w:rPr/>
      </w:pPr>
      <w:r>
        <w:t>--rename-compliantly is valid independently of tagging but is mutually exclusive with --compliant. By itself during non-compliant full inventory it renames identified original folders in place without writing audio tags; with a tag/copy mode it applies the resolved show name to the corresponding source or destination.</w:t>
      </w:r>
    </w:p>
    <w:p>
      <w:pPr>
        <w:pStyle w:val="ListBullet"/>
        <w:numPr>
          <w:ilvl w:val="0"/>
          <w:numId w:val="1"/>
        </w:numPr>
        <w:rPr/>
      </w:pPr>
      <w:r>
        <w:t>--convert-shn is valid with no value and defaults to false. When supplied, any .shn or .shnf files encountered during Tag, Full Inventory, or Add Shows are converted to .flac. If tagging is also enabled, conversion must happen before track-title selection and tag writing. If tagging is not enabled, conversion still runs by itself and must not write or change audio metadata tags.</w:t>
      </w:r>
    </w:p>
    <w:p>
      <w:pPr>
        <w:pStyle w:val="ListBullet"/>
        <w:numPr>
          <w:ilvl w:val="0"/>
          <w:numId w:val="1"/>
        </w:numPr>
        <w:rPr/>
      </w:pPr>
      <w:r>
        <w:t>--as-is-artist-name preserves the artist name from the metadata source that identified the show. Without it, a matched Artist DB alias is replaced by the database master artist name. The setting applies to compliant and non-compliant processing.</w:t>
      </w:r>
    </w:p>
    <w:p>
      <w:pPr>
        <w:pStyle w:val="Normal"/>
        <w:rPr/>
      </w:pPr>
      <w:r>
        <w:t>Sections 13 and 13.1 are the canonical command-line option requirements for inventory, the GUI launcher, and standalone Tag. Appendix E8 contains only code-derived GUI, logging, boolean, and support enumerations and cross-references these sections instead of repeating the argument list.</w:t>
      </w:r>
    </w:p>
    <w:p>
      <w:pPr>
        <w:pStyle w:val="Normal"/>
        <w:rPr/>
      </w:pPr>
      <w:r>
        <w:t>The inventory CLI must not accept --tag-path. tagPath is defined only for the tlo-ggi.py Tag launcher and tlo-tag.py; it must not affect full inventory or Add Shows processing.</w:t>
      </w:r>
    </w:p>
    <w:p>
      <w:pPr>
        <w:pStyle w:val="Normal"/>
        <w:rPr/>
      </w:pPr>
      <w:r>
        <w:t>Shared option registry requirement: all non-carve-out inventory/tagger input options must be declared once in tlo_options.py. The registry must define the unchanged command-line flag, one canonical snake_case destination/config field name, kind, default, choices, help text, and GUI presentation metadata when applicable.</w:t>
      </w:r>
    </w:p>
    <w:p>
      <w:pPr>
        <w:pStyle w:val="Normal"/>
        <w:rPr/>
      </w:pPr>
      <w:r>
        <w:t>Generated parsers requirement: tlo-gi.py, tlo-ggi.py, and tlo-tag.py must build each application's applicable shared options from the registry rather than maintaining independent hand-written copies. TLOHome, the hidden myTLO compatibility argument, --debug [BOOL], -$slam, and tagPath remain explicit carve-outs with their existing behavior.</w:t>
      </w:r>
    </w:p>
    <w:p>
      <w:pPr>
        <w:pStyle w:val="Normal"/>
        <w:rPr/>
      </w:pPr>
      <w:r>
        <w:t>Canonical naming requirement: argparse destinations for generated options must use the canonical snake_case names used by Config, such as tag_during_inventory, etree_lookup, setlistfm_lookup, performance_mode, max_workers, search_path_override, and current_storage_volume. Parser code must not translate from camelCase namespace attributes such as tagDuringInventory, etreeLookup, or setlistFM.</w:t>
      </w:r>
    </w:p>
    <w:p>
      <w:r>
        <w:t>--current-storage-volume controls the Add Shows Current Backup/Storage Drive and Volume field. It supplies the default visible storage label/root used when Add Shows writes or updates bootlist.csv VolumePath rows and duplicate-upgrade delete scripts. It may include a visible label alone or a visible label plus rooted path, such as [Backup-1]E: or [Backup-1]/mnt/e. It does not change the resolved TLOHome.</w:t>
      </w:r>
    </w:p>
    <w:p>
      <w:pPr>
        <w:pStyle w:val="Normal"/>
        <w:rPr/>
      </w:pPr>
      <w:r>
        <w:t>Lookup dependency requirement: setlist.fm requiring eTreeDB must be enforced by one shared function. Startup, CLI, and GUI surfaces must all use that same rule; Section 9 is the canonical behavior description.</w:t>
      </w:r>
    </w:p>
    <w:p>
      <w:pPr>
        <w:pStyle w:val="Normal"/>
        <w:rPr/>
      </w:pPr>
      <w:r>
        <w:t>Max Workers supplied-detection requirement: use argparse.SUPPRESS or an equivalent parser sentinel so GUI default display rules can follow Section 2.10 without duplicating parser-specific logic.</w:t>
      </w:r>
    </w:p>
    <w:p>
      <w:pPr>
        <w:pStyle w:val="Normal"/>
        <w:rPr/>
      </w:pPr>
      <w:r>
        <w:t>Debug compatibility requirement: --debug [BOOL] is the sole documented boolean-toggle exception. It may be supplied bare or with true/false, yes/no, y/n, or 1/0. All other generated boolean toggles remain no-value flags.</w:t>
      </w:r>
    </w:p>
    <w:p>
      <w:pPr>
        <w:pStyle w:val="Normal"/>
        <w:rPr/>
      </w:pPr>
      <w:r>
        <w:t>13.1 Standalone Tagger CLI Requirements for tlo-tag.py</w:t>
      </w:r>
    </w:p>
    <w:p>
      <w:pPr>
        <w:pStyle w:val="Normal"/>
        <w:rPr/>
      </w:pPr>
      <w:r>
        <w:t>Add and maintain a standalone command-line tagger named tlo-tag.py. It must behave the same as running the GUI Tag workflow after the user starts tagging from the Tagger window. The GUI Tag window must not duplicate main-window option checkboxes. It contains the Tagging Path and action/progress controls, reads the current main-window checkbox values when Tag is clicked, and displays all main-window checkbox values in Review Operation before any dry run or real tagging begins.</w:t>
      </w:r>
    </w:p>
    <w:p>
      <w:pPr>
        <w:pStyle w:val="Normal"/>
        <w:rPr/>
      </w:pPr>
      <w:r>
        <w:t>tlo-tag.py must visibly accept --TLOHome STRING, --compliant, --tag-path STRING, and an optional positional tagPath string. It may continue accepting --myTLO STRING as a hidden compatibility argument, but --myTLO must not appear in help output. If both --tag-path and positional tagPath are supplied with different non-empty values, report a readable error and exit.</w:t>
      </w:r>
    </w:p>
    <w:p>
      <w:pPr>
        <w:pStyle w:val="Normal"/>
        <w:rPr/>
      </w:pPr>
      <w:r>
        <w:t>TLOHome resolution for tlo-tag.py must preserve the internal compatibility precedence defined in Section 2.3, while user-facing help documents only --TLOHome and the TLOHome environment variable.</w:t>
      </w:r>
    </w:p>
    <w:p>
      <w:pPr>
        <w:pStyle w:val="Normal"/>
        <w:rPr/>
      </w:pPr>
      <w:r>
        <w:t>When tagPath is blank, the tagger must use the readyForXfer folder under the resolved TLOHome. When tagPath is non-empty, it overrides readyForXfer only for the tagger.</w:t>
      </w:r>
    </w:p>
    <w:p>
      <w:pPr>
        <w:pStyle w:val="Normal"/>
        <w:rPr/>
      </w:pPr>
      <w:r>
        <w:t>When tagPath is non-empty and is a Windows drive-rooted path such as P:\tagtest or P:/tagtest, and the tagger is running under WSL/Linux, the tagger must translate the path to the equivalent /mnt/&lt;drive&gt;/... path before validating that it is fully qualified and exists. Native Windows keeps Windows paths native. This applies to both --tag-path and the positional tagPath argument.</w:t>
      </w:r>
    </w:p>
    <w:p>
      <w:pPr>
        <w:pStyle w:val="Normal"/>
        <w:rPr/>
      </w:pPr>
      <w:r>
        <w:t>In non-compliant mode, use the same inventory-stage discovery for music files, selected setlist files, wrapper aggregation, FLAC tag sampling, and show metadata inputs. Then use the inventory metadata approach to identify Artist, Date, Venue, and Location. The Album value must be built from whatever Date, Venue, and Location metadata is found.</w:t>
      </w:r>
    </w:p>
    <w:p>
      <w:pPr>
        <w:pStyle w:val="Normal"/>
        <w:rPr/>
      </w:pPr>
      <w:r>
        <w:t>In compliant mode, use String1 Date String2, String1 - String2 Date, String1 - String2, and String1 Date folder checks. For String1 Date String2, Artist comes from String1 and Album is Date String2. For String1 - String2 Date, Artist comes from String1, Date is the normalized complete boundary date, and Album uses the remaining String2 text. For generic String1 - String2, Artist comes from String1 and Album is String2. For String1 Date, Artist comes from String1 and Album is Date.</w:t>
      </w:r>
    </w:p>
    <w:p>
      <w:pPr>
        <w:pStyle w:val="Normal"/>
        <w:rPr/>
      </w:pPr>
      <w:r>
        <w:t>When writing audio tags, TLO must clear stale TRACKTOTAL, DISCNUMBER, and DISCTOTAL metadata values. This applies to inventory-time tagging and to the standalone/GUI Tagger. The normal TrackNo/Track Number tag remains written; only total-track and disc-position/count metadata is removed.</w:t>
      </w:r>
    </w:p>
    <w:p>
      <w:pPr>
        <w:pStyle w:val="Normal"/>
        <w:rPr/>
      </w:pPr>
      <w:r>
        <w:t>When Convert shn / --convert-shn is enabled, TLO must convert SHN/SHNF files to FLAC in the selected Tag path, during Full Inventory, and during Add Shows, even when no tagging mode is enabled. Conversion must use the application-bundled native converter included with the PyInstaller build. Successful conversions replace the audio path used for later processing with the new FLAC path and delete the original SHN/SHNF file only after the new FLAC is verified as successfully created and non-empty. Failed conversions must be logged as tag errors and the failed SHN/SHNF file must be left in place. When tagging is enabled, conversion must occur before choosing final track titles and before writing tags. When tagging is disabled, conversion must not write tags. In native Windows GUI and PyInstaller one-file builds, the bundled converter must run without creating a visible console or Windows Terminal window. This verified SHN replacement is the only standalone Tag workflow that deletes an input audio file.</w:t>
      </w:r>
    </w:p>
    <w:p>
      <w:pPr>
        <w:pStyle w:val="Normal"/>
        <w:rPr/>
      </w:pPr>
      <w:r/>
    </w:p>
    <w:p>
      <w:pPr>
        <w:pStyle w:val="Normal"/>
        <w:rPr/>
      </w:pPr>
      <w:r>
        <w:t>For each successfully matched audio file, write Artist, Album, normalized Track Number, and Title tags. Artist comes from the resolved Artist. Album normally starts with the resolved Artist followed by a space, then the prior Album value built from Date, Venue, Location, and any preserved parentheticals. This rule applies to Full Inventory with Tag in Place, Tag Copy, or Tag Copy/Delete Original, to Add Shows tagging, and to standalone Tag. When Artist in Album is unchecked or --no-artist-in-album is supplied, Album is the prior value exactly as before: Date, Venue, Location, and any preserved parentheticals, without the leading Artist. When a selected setlist exists and its parsed track count matches the audio-file count, Title comes from the associated setlist track title. If an apparent count mismatch or missing-title condition prevents a direct setlist match, use the existing title fallback order documented in this section.</w:t>
      </w:r>
      <w:r>
        <w:t xml:space="preserve"> Explicit local Songs:/Tracks: blocks with plausible titles are recognized as local song-list evidence, but when their title count differs from the audio-file count TLO reports the mismatch and does not force or truncate the list into a one-title-per-file mapping.</w:t>
      </w:r>
    </w:p>
    <w:p>
      <w:pPr>
        <w:pStyle w:val="Normal"/>
        <w:rPr/>
      </w:pPr>
      <w:r/>
    </w:p>
    <w:p>
      <w:pPr>
        <w:pStyle w:val="Normal"/>
        <w:rPr/>
      </w:pPr>
      <w:r>
        <w:t>Supported setlist track identifiers must include at least: 0 Name, 1 Name, 0Name, 1Name, 0-Name, 1-Name, 01-Name, 0)Name, 1)Name, 0) Name, 1) Name, Track 0 - Name, Track 1 - Name, t01: Name, t01 - Name, d1t01 Name, d1t01 - Name, cd1t04 - Name, s2t01 Name, side-letter rows such as A01 Name and B05 Name, 101 [0:26] Name, 201 [1:43] Name, and disc-track dash rows such as 1-1 Name, 1-2 Name, and 2-1 Name, and numbered encore rows such as 09. E: Name or 09. Encore: Name.</w:t>
      </w:r>
    </w:p>
    <w:p>
      <w:pPr>
        <w:pStyle w:val="Normal"/>
        <w:rPr/>
      </w:pPr>
      <w:r>
        <w:t>When a local numbered setlist is a strong but short run and the audio folder has additional files, inventory-time tagging may preserve the known listed titles and mark only the unmatched trailing audio files as Unknown instead of discarding the setlist titles. This partial-title behavior must remain conservative and must not override exact-count local setlist matches.</w:t>
      </w:r>
    </w:p>
    <w:p>
      <w:pPr>
        <w:pStyle w:val="Normal"/>
        <w:rPr/>
      </w:pPr>
      <w:r>
        <w:t>Comma-separated setlist fallback must support SET ONE/SET TWO style sections. Comma-separated items may include internal medley arrows such as Jam&gt;Flute Down; these arrows must not be split unless a future rule can prove the resulting count is safe.</w:t>
      </w:r>
    </w:p>
    <w:p>
      <w:pPr>
        <w:pStyle w:val="Normal"/>
        <w:rPr/>
      </w:pPr>
      <w:r>
        <w:t>Numbered setlists may restart at 1 after a clear CD/Disc/Disk/Set heading, or after an established numbered run when no heading is present. The written Track Number tags must remain sequential across sections. Clear headings include roman-numeral and duration forms such as Set I - 89 min. and Set II - 99 min. When no heading is present, a reset is accepted only after the current list has ascended from 0 or 1 and the restarted section is confirmed by the next parsed row continuing to 2. Blank lines are not required and do not affect the reset decision. A lone unconfirmed second 1 must be ignored so revision notes or other prose are not written as titles.</w:t>
      </w:r>
    </w:p>
    <w:p>
      <w:pPr>
        <w:pStyle w:val="Normal"/>
        <w:rPr/>
      </w:pPr>
      <w:r>
        <w:t>Numbered setlist parsing must tolerate large blocks of non-song text, blank lines, URLs, personnel notes, and ordinary explanatory notes between numbered song rows when the later numbered row validly continues the established sequence or begins a confirmed reset. Terminator-style headings such as Note:, Source:, Transfer:, or Comments: must not end an otherwise valid numbered list if a later numbered row continues the expected number. Patch notes and checksum/hash sections remain hard stops.</w:t>
      </w:r>
    </w:p>
    <w:p>
      <w:pPr>
        <w:pStyle w:val="Normal"/>
        <w:rPr/>
      </w:pPr>
      <w:r>
        <w:t>Technical audio-analysis and extraction/ripper report sections must not be parsed as song titles. This includes auCDtect result rows and Exact Audio Copy (EAC) extraction logs/TOC tables. Rows such as "101 Ted the Mechanic.wav: track looks like CDDA with probability 100%." and "1 | 0:00.00 | 13:17.25 | 0 | 59799" are technical verification/table data even when their leading numbers form a valid 1..N sequence. Recognized EAC markers such as "Exact Audio Copy", "EAC extraction logfile", and "TOC of the extracted CD" begin a technical tail that is not mined for track titles. In addition to source-specific filters, numbered-title parsing must apply a conservative plausibility check that rejects numeric multi-column/timestamp table rows while preserving legitimate numeric song titles. If these technical rows appear after a valid setlist track list, track-title parsing stops before the technical block; if they appear without a real numbered setlist, they are ignored for title selection.</w:t>
      </w:r>
    </w:p>
    <w:p>
      <w:pPr>
        <w:pStyle w:val="Normal"/>
        <w:rPr/>
      </w:pPr>
      <w:r>
        <w:t>Ordinal event/header lines must not be parsed as compact numbered tracks. For example, "9th Annual Eddie Moore Jazz Festival" is a header/event line and must not become track 9 with title "th Annual Eddie Moore Jazz Festival". Track extraction must continue past such headers to later real numbered track lists.</w:t>
      </w:r>
    </w:p>
    <w:p>
      <w:pPr>
        <w:pStyle w:val="Normal"/>
        <w:rPr/>
      </w:pPr>
      <w:r>
        <w:t>Once a setlist track list has started, collector notes, note-to-collectors sections, lineage/source/transfer notes, comments, explicit thank-you prose such as "Thanks to the taper", checksum sections, and similar prose sections must terminate track-title parsing. A later prose sentence that starts with a number, such as "40 years...", must not be accepted as an additional song title.</w:t>
      </w:r>
    </w:p>
    <w:p>
      <w:pPr>
        <w:pStyle w:val="Normal"/>
        <w:rPr/>
      </w:pPr>
      <w:r>
        <w:t>If metadata cannot be identified, the standalone tagger must skip the folder with a concise console message and processing must continue with the next folder. If a selected setlist exists but no numbered parseable tracks exist, the tagger must check for unnumbered CD/Disc/Disk/Set song-list sections, then unnumbered comma-separated setlist fallback content, before falling back to filename-derived titles confirmed by the setlist text or to existing audio Title tags. If the setlist track count still does not match the number of music files, standalone/GUI tagging may use existing audio Title tags as a last-resort source when at least one existing title is usable; otherwise it skips the folder. Inventory-time tagging may also fall back to existing audio title tags according to Section 14.</w:t>
      </w:r>
    </w:p>
    <w:p>
      <w:pPr>
        <w:pStyle w:val="Normal"/>
        <w:rPr/>
      </w:pPr>
      <w:r>
        <w:t>Filename-derived tagging fallback must be conservative. It may use titles extracted after a leading track number, dNtNN/sNtNN token, or embedded date plus disc/track prefix only when a real title remains after the prefix. Fill-in identifiers such as Track, Track 01, d1t03, s1t04, unknown, untitled, or bare numbers are not valid song titles. When a selected setlist exists, filename-derived titles must be confirmed against the setlist text before use.</w:t>
      </w:r>
    </w:p>
    <w:p>
      <w:pPr>
        <w:pStyle w:val="Normal"/>
        <w:rPr/>
      </w:pPr>
      <w:r>
        <w:t>The tagger must scan folders under the tagging path using the same inventory discovery rules for folders with music. It must choose the selected setlist file with the same setlist-selection rules used elsewhere, parse metadata using compliant or non-compliant inventory rules, and tag all taggable audio files in each folder. When the discovery input contains only a representative media sample for a folder, the tag-write step must locally rescan the known music directory and operate on the full set of eligible audio files in that folder. In standalone/GUI tagging, if no setlist is found, attempt filename-derived track titles first; when filenames are generic or unusable, use existing audio Title tags when at least one usable title exists. In Tag During Inventory, if setlist/eTree titles cannot be used or the count mismatches, use existing audio Title tags as the last-resort Title source and write Unknown for empty, generic, or unusable title tags. Build 408 generic-title rule: when the complete cleaned candidate song title from any setlist title source (local numbered, local unnumbered, comma-separated, eTreeDB, or cached setlist.fm) or from an existing audio Title tag is exactly Title, Titled, or Titles, case-insensitively, TLO must keep the track row/position but write the Title value as Unknown. This rule applies only when the complete cleaned candidate is one of those three words; longer legitimate titles that merely contain title, titled, or titles remain eligible.</w:t>
      </w:r>
    </w:p>
    <w:p>
      <w:pPr/>
      <w:r>
        <w:t>Build 409 numbered-setlist safety rule: A leading bare track number such as 01 must be retained as an Unknown-title track only when the next meaningful numbered song row confirms the expected sequence, such as 02 Day Waves. An isolated bare number before unrelated prose must not be manufactured into a track. A one-, two-, or three-digit numeric-only row must not start an unstructured unnumbered-title fallback block, because an isolated short number is more likely to be a bare track number. Numeric song names remain eligible when embedded inside an already-established multi-line unnumbered song block; titles such as 69 and 1999 must remain valid. Compact personnel/credit lines ending in a recognized instrument or role parenthetical, including Gary Burton(vib) and Chick Corea (p), and duration-summary lines such as min 38:24, 38:24 min, and total time 38:24 must not become unnumbered titles. When the local text contains a convincing run of at least three consecutive numbered song rows, later unnumbered prose must not be scavenged merely because its count happens to equal the audio-file count; however, the Build 411 competing-candidate rule supersedes this blanket gate when a plausible exact-count unnumbered song-list candidate exists and must be compared against the numbered candidate before padding or final selection.</w:t>
      </w:r>
    </w:p>
    <w:p>
      <w:pPr/>
      <w:r>
        <w:t>Build 410 explicit-setlist and disc-order rule: When a selected local text file contains an explicit Setlist:, Set List:, Songs:, Tracks:, or equivalent track-section heading followed by an unnumbered one-song-per-line list, that section must be evaluated before later numbered prose. A track-list terminator such as Notes: ends the section even when no numbered song rows were seen, so later collector notes beginning 1), 2), 3), and similar numbering must not become titles. Within an explicit/count-matched song section, a legitimate song beginning with Thank, including Thank The Nurse That's Nursing You, must remain eligible; explicit thank-you prose such as Thanks to the taper remains a terminator. Encore abbreviations E:, Enc:, and Encore: must be stripped from the beginning of the song title. Audio files whose names carry both disc/disk/CD and track tokens must sort by disc first and track second even when punctuation such as commas, periods, hyphens, underscores, or spaces separates the tokens; for example CJM-Disc01,Track01.flac through CJM-Disc01,Track10.flac must precede CJM-Disc02,Track01.flac. This ordering prevents disc 1 and disc 2 from being interleaved into odd/even written Track Number tags.</w:t>
      </w:r>
    </w:p>
    <w:p>
      <w:r>
        <w:t>Build 411 competing-track-list candidate rule: Before a short numbered local setlist candidate is padded with Unknown titles, TLO must evaluate any plausible local unnumbered candidate whose title count exactly equals the number of audio files. Count agreement is primary evidence: an exact-count song list outranks a shorter numbered candidate when the latter does not account for all audio tracks. When numbered and unnumbered candidates both exactly match the audio-file count, TLO may use only positive corroboration from the corresponding audio filename or existing audio Title tag to reinforce either candidate; a missing, generic, unreadable, or unrelated filename/tag value contributes zero and must never reduce a candidate score. Filename corroboration may be established either by a parsed filename title match or by the complete normalized candidate title appearing within the corresponding filename. Existing Title-tag corroboration requires a usable cleaned tag title matching the candidate title. If equally sized candidates have equal corroboration, a short numbered run demonstrably embedded in surrounding prose/collector notes may yield to the exact-count contiguous unnumbered song block; otherwise normal numbered-list precedence remains. The reported Cramps 1984-06-25 example contains three numbered processing notes followed by 17 unnumbered songs; with 17 audio files, the 17-song block must be selected from Devil With A Blue Dress On through She Said.</w:t>
      </w:r>
    </w:p>
    <w:p>
      <w:pPr>
        <w:pStyle w:val="Heading1"/>
        <w:rPr/>
      </w:pPr>
      <w:r>
        <w:t>14. GUI Requirements for tlo-ggi.py</w:t>
      </w:r>
    </w:p>
    <w:p>
      <w:pPr>
        <w:pStyle w:val="ListBullet"/>
        <w:numPr>
          <w:ilvl w:val="0"/>
          <w:numId w:val="1"/>
        </w:numPr>
        <w:rPr/>
      </w:pPr>
      <w:r>
        <w:t>Checking Tag Copy or Tag Copy/Delete Original must only select that mutually exclusive mode. After the user starts Inventory, TLO must open the selected mode's modal destination window and ask for an existing fully qualified destination directory. The Tag Copy window explains that the original is retained, exact capacity preflight always applies, and every copied file is verified by relative path and size. The Tag Copy/Delete Original window additionally warns that original material will be removed; it explains that same-partition transfers are directory moves with no source-size totaling or file-size comparison, while different-partition transfers receive exact capacity preflight and per-file size verification before deletion. OK remains unavailable until the path is valid and available-storage information can be read. The selected destination overrides per-path --$copy and --$copy-delete destinations from toBeInventoried.txt. If the Search Path field is empty, TLO must preflight only roots that will actually be copied. Dry run follows the same destination selection and planning sequence without performing the transfer.</w:t>
      </w:r>
    </w:p>
    <w:p>
      <w:pPr>
        <w:pStyle w:val="ListBullet"/>
        <w:numPr>
          <w:ilvl w:val="0"/>
          <w:numId w:val="1"/>
        </w:numPr>
        <w:rPr/>
      </w:pPr>
      <w:r>
        <w:t>Add a checkbox titled etreeDB, mapped to --etree-lookup, a checkbox titled setlist.fm, mapped to --setlistfm-lookup, and directly beneath it a checkbox titled setlist.fm upgrade, mapped to --setlistfm-upgrade. The upgrade checkbox has no effect unless setlist.fm itself is enabled.</w:t>
      </w:r>
    </w:p>
    <w:p>
      <w:pPr>
        <w:pStyle w:val="ListBullet"/>
        <w:numPr>
          <w:ilvl w:val="0"/>
          <w:numId w:val="1"/>
        </w:numPr>
        <w:rPr/>
      </w:pPr>
      <w:r>
        <w:t>If setlist.fm is checked, etreeDB must remain checked automatically. If the user clears etreeDB while setlist.fm is still checked, the GUI must restore etreeDB so the dependency remains visible and explicit.</w:t>
      </w:r>
    </w:p>
    <w:p>
      <w:pPr>
        <w:pStyle w:val="ListBullet"/>
        <w:numPr>
          <w:ilvl w:val="0"/>
          <w:numId w:val="1"/>
        </w:numPr>
        <w:rPr/>
      </w:pPr>
      <w:r>
        <w:t>The visible main-GUI checkboxes must use a three-row, four-column grid. Row and column numbers in this document are one-based. Row 1 is: Column 1 etreeDB; Column 2 Compliant; Column 3 Tag in Place; Column 4 Artist in Album Tag. Row 2 is: Column 1 setlist.fm; Column 2 Rename Compliantly; Column 3 Tag Copy; Column 4 Convert shn. Row 3 is: Column 1 setlist.fm upgrade; Column 2 As-Is Artist Name; Column 3 Tag Copy/Delete Original; Column 4 Dry run. Artist in Album Tag defaults to checked.</w:t>
      </w:r>
    </w:p>
    <w:p>
      <w:pPr>
        <w:pStyle w:val="ListBullet"/>
        <w:numPr>
          <w:ilvl w:val="0"/>
          <w:numId w:val="1"/>
        </w:numPr>
        <w:rPr/>
      </w:pPr>
      <w:r>
        <w:t>When tlo-ggi.py or tlo-ggi.exe is launched from the command line with --etree-lookup and/or --setlistfm-lookup, the corresponding GUI checkboxes must reflect the launch arguments. Command-line --setlistfm-lookup without --etree-lookup is a startup error; interactive dependency behavior is defined in Section 9 and the preceding GUI checkbox rule. The --debug command-line argument remains accepted, enables debug behavior, and is not shown as a visible GUI checkbox.</w:t>
      </w:r>
    </w:p>
    <w:p>
      <w:pPr>
        <w:pStyle w:val="ListBullet"/>
        <w:numPr>
          <w:ilvl w:val="0"/>
          <w:numId w:val="1"/>
        </w:numPr>
        <w:rPr/>
      </w:pPr>
      <w:r>
        <w:t>Add/maintain a GUI main program named tlo-ggi.py.</w:t>
      </w:r>
    </w:p>
    <w:p>
      <w:pPr>
        <w:pStyle w:val="ListBullet"/>
        <w:numPr>
          <w:ilvl w:val="0"/>
          <w:numId w:val="1"/>
        </w:numPr>
        <w:rPr/>
      </w:pPr>
      <w:r>
        <w:t>The GUI should reflect the inputs from tlo-gi.py, using checkboxes where possible and text boxes where text is required.</w:t>
      </w:r>
    </w:p>
    <w:p>
      <w:pPr>
        <w:pStyle w:val="ListBullet"/>
        <w:numPr>
          <w:ilvl w:val="0"/>
          <w:numId w:val="1"/>
        </w:numPr>
        <w:rPr/>
      </w:pPr>
      <w:r>
        <w:t>The GUI must include a Performance Mode selector with gentle, balanced, fast, and extreme.</w:t>
      </w:r>
    </w:p>
    <w:p>
      <w:pPr>
        <w:pStyle w:val="ListBullet"/>
        <w:numPr>
          <w:ilvl w:val="0"/>
          <w:numId w:val="1"/>
        </w:numPr>
        <w:rPr/>
      </w:pPr>
      <w:r>
        <w:t>The GUI must include a Max Workers text field. When the GUI is launched, the field must be pre-populated with the positive --max-workers value from the GUI launcher command line. If --max-workers is omitted or supplied as 0, the field must display the computed default for the selected Performance Mode, except extreme mode displays 0 to mean the uncapped extreme default.</w:t>
      </w:r>
    </w:p>
    <w:p>
      <w:pPr>
        <w:pStyle w:val="ListBullet"/>
        <w:numPr>
          <w:ilvl w:val="0"/>
          <w:numId w:val="1"/>
        </w:numPr>
        <w:rPr/>
      </w:pPr>
      <w:r>
        <w:t>The GUI default Performance Mode must be balanced. The GUI must not display explanatory/helper comments next to the Performance Mode selector or Max Workers text field; it should show only the control labels and controls. All visible GUI control fonts must use the same size as the enlarged lookup checkbox labels introduced in v152. Checkbox indicators must be displayed one size larger than the prior standard checkbox appearance where supported by Tk/ttk on the active platform.</w:t>
      </w:r>
    </w:p>
    <w:p>
      <w:pPr>
        <w:pStyle w:val="ListBullet"/>
        <w:numPr>
          <w:ilvl w:val="0"/>
          <w:numId w:val="1"/>
        </w:numPr>
        <w:rPr/>
      </w:pPr>
      <w:r>
        <w:t>The Inventory GUI and Search GUI must not display an editable TLOHome input box. Each GUI must display a read-only label in the main window showing the resolved TLOHome, formatted as TLOHome: &lt;path&gt;. TLOHome resolution remains non-GUI: --myTLO first, then --TLOHome, then the TLOHome environment variable.</w:t>
      </w:r>
    </w:p>
    <w:p>
      <w:pPr>
        <w:pStyle w:val="ListBullet"/>
      </w:pPr>
      <w:r>
        <w:t>The Inventory GUI must use an upper-right hamburger menu. The Help cascade contains About and FAQ. About must display Traders Little Organizer™ - TLO with the superscript trademark symbol, the current v1.4 Build number, developer attribution, tool attribution, and contact text. FAQ opens TLOHome/TLO-FAQ.txt; TLO-FAQ.txt is included in the source bundle and end-user complete distributions.</w:t>
      </w:r>
    </w:p>
    <w:p>
      <w:pPr>
        <w:pStyle w:val="ListBullet"/>
      </w:pPr>
      <w:r>
        <w:t>The Inventory GUI hamburger menu must include a top-level Donate cascade. Donate contains Venmo and Check cascades, each displayed with the platform menu chevron. Venmo displays @James-Scarano-3. Check displays James Scarano, 49 Majestic Ave., Nashua, NH 03063. All donation detail rows must use normal enabled menu text so they display as dark text rather than disabled gray text. Selecting a donation detail row must not launch an external service or perform another action.</w:t>
      </w:r>
    </w:p>
    <w:p>
      <w:pPr>
        <w:pStyle w:val="ListBullet"/>
      </w:pPr>
      <w:r>
        <w:t>The Inventory GUI and Search GUI update menus must include Check for updates and Auto update. Check for updates queries the latest GitHub Release under the TradersLittleOrganizer repository, compares the latest release build number to the installed build, and downloads only when the release is newer. Auto update is a persistent check/download preference, not an installer. The official update source is fixed by build-time constants to onaracstlo-lab/TradersLittleOrganizer; environment variables must not redirect normal update checks to another repository.</w:t>
      </w:r>
    </w:p>
    <w:p>
      <w:pPr>
        <w:pStyle w:val="ListBullet"/>
      </w:pPr>
      <w:r>
        <w:t>Auto update stores its local state in TLOHome/update-settings.json. On startup, the Inventory GUI and Search GUI read that file, set the Auto update checkmark when auto_update is true, and perform the same update-check/download action at most once every 24 hours. Manual Check for updates always runs immediately.</w:t>
      </w:r>
    </w:p>
    <w:p>
      <w:pPr>
        <w:pStyle w:val="ListBullet"/>
      </w:pPr>
      <w:r>
        <w:t>The updater must never unzip, execute, install, replace, or delete files. It downloads the selected ZIP asset to the user Downloads folder and alerts the user with the full path. It must prefer the platform-specific update ZIP and fall back to the matching platform-specific complete ZIP only when no matching update ZIP is available.</w:t>
      </w:r>
    </w:p>
    <w:p>
      <w:pPr>
        <w:pStyle w:val="ListBullet"/>
      </w:pPr>
      <w:r>
        <w:t>Updater downloads must sanitize the release asset filename to a basename, accept only GitHub-hosted HTTPS asset URLs, verify size and GitHub-provided SHA-256 digest when available, warn when only size can be verified, and avoid repeatedly downloading the same matching asset that already exists in Downloads. Before network transfer, reject any declared asset larger than the configured 1 GiB TLO update ceiling. Stream the response in bounded chunks, abort if received bytes exceed the declared asset size or the hard ceiling, and require exact declared-size equality at completion when GitHub provides a size.</w:t>
      </w:r>
    </w:p>
    <w:p>
      <w:pPr>
        <w:pStyle w:val="ListBullet"/>
        <w:numPr>
          <w:ilvl w:val="0"/>
          <w:numId w:val="1"/>
        </w:numPr>
        <w:rPr/>
      </w:pPr>
      <w:r>
        <w:t>Include hidden myTLO compatibility with the same precedence as CLI. It must not appear in help output or as a visible GUI field.</w:t>
      </w:r>
    </w:p>
    <w:p>
      <w:pPr>
        <w:pStyle w:val="ListBullet"/>
        <w:numPr>
          <w:ilvl w:val="0"/>
          <w:numId w:val="1"/>
        </w:numPr>
        <w:rPr/>
      </w:pPr>
      <w:r>
        <w:t>Indicate Search Path and Slam are optional overrides directly beneath their respective labels.</w:t>
      </w:r>
    </w:p>
    <w:p>
      <w:pPr>
        <w:pStyle w:val="ListBullet"/>
        <w:numPr>
          <w:ilvl w:val="0"/>
          <w:numId w:val="1"/>
        </w:numPr>
        <w:rPr/>
      </w:pPr>
      <w:r>
        <w:t>Include Tag, Add Shows (incremental), Research, Reverse Copy/Delete + Rename, Quit, Inventory (full), Pause, and Resume buttons in the main button row. Include a Dry run checkbox in the main options grid. Tag must display at the far left. Add Shows (incremental), Reverse Copy/Delete + Rename, and Inventory (full) must each use concise two-line labels where needed to keep the main row readable.</w:t>
      </w:r>
    </w:p>
    <w:p>
      <w:pPr>
        <w:pStyle w:val="ListBullet"/>
        <w:numPr>
          <w:ilvl w:val="0"/>
          <w:numId w:val="1"/>
        </w:numPr>
        <w:rPr/>
      </w:pPr>
      <w:r>
        <w:t>Main button layout: Tag is at the far left, Add Shows / (incremental) is immediately to its right, followed by Research and Reverse Copy/Delete / + Rename in the left action group; Quit is centered; and Inventory / (full), Pause, and Resume are grouped on the right. All main-row buttons must use the same main-button style and remain usable when the window is resized.</w:t>
      </w:r>
    </w:p>
    <w:p>
      <w:pPr>
        <w:pStyle w:val="ListBullet"/>
      </w:pPr>
      <w:r>
        <w:t>The Reverse Copy/Delete + Rename button must reverse only a previously logged combined Full Inventory Tag Copy/Delete Original and Rename Compliantly operation. It restores folder location and folder name only; it must not attempt to restore, remove, or otherwise change audio tags.</w:t>
      </w:r>
    </w:p>
    <w:p>
      <w:pPr>
        <w:pStyle w:val="ListBullet"/>
      </w:pPr>
      <w:r>
        <w:t>Clicking Reverse Copy/Delete + Rename must resolve TLOHome with the same shared precedence and validation used by Inventory (--myTLO, then --TLOHome, then the TLOHome environment variable) and open a child window showing the resolved TLOHome. The window must ask for Original Partition / Path and Copy/Delete Destination. Original Partition / Path accepts a currently mounted visible volume/partition label, a rooted platform drive/root such as D, D:, D:\, or /mnt/d, or a full original path such as D:\somePath or /mnt/d/somePath. A current volume label is only a way to resolve the current mount/root; it is not required to match the historical label recorded by TLO. A named current partition that is not mounted or that resolves to more than one root must be rejected rather than guessed. The Copy/Delete Destination must be an existing fully qualified directory.</w:t>
      </w:r>
    </w:p>
    <w:p>
      <w:pPr>
        <w:pStyle w:val="ListBullet"/>
      </w:pPr>
      <w:r>
        <w:t>Reverse discovery must read TLOHome/logs success-tag logs (current tags*.txt and compatible legacy tag*.log) and use only files that explicitly record TAG_DURING_INVENTORY mode=copy-and-delete with rename compliantly=yes. Successful TAG_COPY_DELETE_MOVE or TAG_COPY_DELETE_COPY source -&gt; destination lines remain the authoritative exact mapping. Historical volume labels and drive letters are identification evidence only and may differ from the current partition. TLO must identify one applicable success log before moving any folder. Candidate-log scoring may use current/original path correspondence, exact destination-folder matches, and artist+date combinations found in logged/current folder names. Artist comparison used for log identification must tolerate common ordering changes including Last, First -&gt; First Last and Name, The &lt;-&gt; The Name. If candidate logs are tied, TLO must stop and require a narrower Original Partition / Path rather than guess.</w:t>
      </w:r>
    </w:p>
    <w:p>
      <w:pPr>
        <w:pStyle w:val="ListBullet"/>
      </w:pPr>
      <w:r>
        <w:t>Once one success log has been identified, reversal must use only that log and must not search other logs again during execution. All eligible combined-operation mappings in the selected log are considered. Logged original paths are remapped to the current Original Partition / Path: a full-path input may replace the historical search-root drive/volume while preserving the path below that root, and a partition/root input remaps from the historical volume root to the current root. Logged destinations are remapped beneath the currently supplied Copy/Delete Destination. Duplicate mappings must be de-duplicated. Artist/date normalization is used only to identify the log and must never be used to choose a physical folder for restoration.</w:t>
      </w:r>
    </w:p>
    <w:p>
      <w:pPr>
        <w:pStyle w:val="ListBullet"/>
      </w:pPr>
      <w:r>
        <w:t>Before execution the Reverse window must report the selected success-log filename, the evidence used to identify it, the number of logged mappings, and the number of exact logged destination folders currently present, then ask for confirmation. For each mapping, if the exact logged/remapped destination exists and the original path is absent, TLO restores the folder to the exact logged original name/location. If the original path already exists, TLO must not overwrite or merge it; both trees are left untouched and the item is reported as a conflict. If the exact logged destination is absent (for example because the folder was manually renamed or moved after TLO processing), TLO must leave destination contents alone, must not perform a fuzzy folder search, and must report the mapping as skipped unmatched. Already-restored mappings are reported without further searching.</w:t>
      </w:r>
    </w:p>
    <w:p>
      <w:pPr>
        <w:pStyle w:val="ListBullet"/>
      </w:pPr>
      <w:r>
        <w:t>A same-filesystem reverse must use a directory rename/move and must not perform a redundant size comparison. A cross-filesystem reverse must copy the complete current folder tree, including non-music files and empty descendant directories, verify relative file paths and file sizes plus descendant directory structure, and only then delete the current moved/copy tree. A failed copy or verification must leave the current tree intact and remove any partial newly-created original tree. Reverse activity must append the selected log/evidence and per-folder results to TLOHome/logs/reverseCopyDelete.log and append the action, original input/resolved path, selected log, and destination to TLOHome/logs/runSettings.log. The Reverse button/window must not overlap active Full Inventory, Add Shows, or Tag operations.</w:t>
      </w:r>
    </w:p>
    <w:p>
      <w:r>
        <w:t>All pre-execution settings reporting must use the canonical Review Operation requirements in Section 14.1. Child windows must read current main-window values at action time rather than retain snapshots from when they were opened.</w:t>
      </w:r>
    </w:p>
    <w:p>
      <w:pPr>
        <w:pStyle w:val="ListBullet"/>
        <w:numPr>
          <w:ilvl w:val="0"/>
          <w:numId w:val="1"/>
        </w:numPr>
        <w:rPr/>
      </w:pPr>
      <w:r>
        <w:t>If Add Shows is used before any bootlist.csv exists, the updater must warn that Add Shows can create a new bootlist from readyForXfer but is normally used after a full inventory. The updater must require a non-blank Current Backup/Storage Drive and Volume before bootstrapping the first real bootlist output, and must ask the user to continue or cancel before processing new shows as the first inventory output. The Add Shows window must not contain separate Preview buttons, a Dry run checkbox, or duplicated main-window option checkboxes. Check for Duplicates remains because it is specific to Process New Shows. When either Add Shows action is clicked, it must read the current main-window checkbox values. When main-window Dry run is checked, clicking Process New Shows or Process Potential Duplicate/Upgrades must perform the detailed non-destructive analysis instead of moving, renaming, tagging, converting, deleting, or writing inventory output. Dry run must remain available even when the first real Add Shows run would require a storage-volume value.</w:t>
      </w:r>
    </w:p>
    <w:p>
      <w:pPr>
        <w:pStyle w:val="ListBullet"/>
      </w:pPr>
      <w:r>
        <w:t>Add Shows incremental processing must honor the main GUI Tag in Place checkbox. When Tag in Place is selected, both the normal readyForXfer-to-staged path and the duplicate-resolution Process path must tag the accepted source folder in place after any compliant rename and generated setlist preparation, but before the folder is moved into staged. Add Shows Dry run must use the production metadata and track-title selection logic and display the resulting show name plus each applicable file's planned Artist, Album, Track, and Title values, title source, SHN conversion target, skip reason, and potential duplicate matches without changing content.</w:t>
      </w:r>
    </w:p>
    <w:p>
      <w:pPr>
        <w:pStyle w:val="ListBullet"/>
      </w:pPr>
      <w:r>
        <w:t>Add Shows potential-duplicate detection must require both a matching performance date and an independently validated artist match against the same existing bootlist Show cell. Raw resolved show names and raw folder basenames may be used only as probes from which the Artist DB resolves a legitimate artist; they must never directly satisfy the artist predicate. Artist comparison must use normalized whole-token/whole-phrase boundaries rather than arbitrary substring containment, while continuing to accept the resolved Artist DB master name and valid aliases.</w:t>
      </w:r>
    </w:p>
    <w:p>
      <w:pPr>
        <w:pStyle w:val="ListBullet"/>
      </w:pPr>
      <w:r>
        <w:t>Build 399 Add Shows cross-partition potential-duplicate rule: when Process New Shows runs with Check for Duplicates selected and potential duplicate bootlist rows are found, TLO must determine whether comparison is possible on the partition identified by Current Backup/Storage Drive and Volume. Rooted Windows drive, WSL drive, macOS/Linux mount identity takes precedence; matching volume labels are the fallback for legacy rows without a rooted path. If every matching row is definitively on another partition, TLO must treat those existing folders as unavailable for comparison, retain the incoming show, and append a potential-duplicate qualifier `(pdupNN)` where NN begins at 01 and advances one past the highest existing pdup number in the matching family. The marker is part of the final Show identity and therefore propagates to bootlist output, generated setlist identity, Album/tag parentheticals, and Rename Compliantly folder naming when rename is enabled. A pdup marker is not evidence of an exact copy or an alternate. If any matching row is on the current partition, or partition identity cannot be determined, TLO must keep the existing duplicate review and copy-versus-alternate comparison behavior unchanged.</w:t>
      </w:r>
    </w:p>
    <w:p>
      <w:pPr>
        <w:pStyle w:val="ListBullet"/>
      </w:pPr>
      <w:r>
        <w:t>Add Shows does not perform Tag Copy or Tag Copy/Delete Original. If either is selected in the main GUI, Add Shows must report the selected value in Review Operation and identify the two Full Inventory copy modes as not used by Add Shows, so it does not create a second destination outside the readyForXfer, dups, and staged workflow. Add Shows must not maintain a separate Mode display of duplicated main-window settings. Rename Compliantly continues to run before tagging so the folder name, generated setlist, bootlist row, and audio tags refer to the same final show name.</w:t>
      </w:r>
    </w:p>
    <w:p>
      <w:pPr>
        <w:pStyle w:val="ListBullet"/>
      </w:pPr>
      <w:r>
        <w:t>When Add Shows creates deleteBackupFolders.bat for duplicate-upgrade cleanup, the file must not start with @echo off. Delete commands must be built from each selected old bootlist.csv VolumePath row, using the rooted drive or mount path present in that row and skipping rows that cannot provide a rooted target. Current Backup/Storage Drive and Volume may include both the visible label and drive/root, such as [Backup-1]E: or [Backup-1]/mnt/e, and new Add Shows bootlist rows must preserve that rooted storage path.</w:t>
      </w:r>
    </w:p>
    <w:p>
      <w:pPr>
        <w:pStyle w:val="ListBullet"/>
        <w:numPr>
          <w:ilvl w:val="0"/>
          <w:numId w:val="1"/>
        </w:numPr>
        <w:rPr/>
      </w:pPr>
      <w:r>
        <w:t>The main GUI must include checkboxes labeled Tag in Place, Tag Copy, Tag Copy/Delete Original, Rename Compliantly, As-Is Artist Name, and Dry run. Tag in Place, Tag Copy, and Tag Copy/Delete Original are mutually exclusive. Compliant and Rename Compliantly are also mutually exclusive: selecting either one in the GUI clears the other, and supplying both on the inventory, GUI-launcher, or standalone-tagger command line is an error. Checking Tag Copy or Tag Copy/Delete Original only selects the mode; the destination is requested after Inventory starts. Cancelling that destination dialog cancels the pending action but leaves the selected mode checked. Rename Compliantly remains independent of tagging. As-Is Artist Name defaults off and controls whether matched aliases are emitted as the Artist DB master or preserved as discovered. Dry run defaults off and is controlled only by the main Inventory window. Tag and Add Shows must not duplicate these main-window checkboxes and must read their current values when an action starts. The canonical checkbox reporting order and workflow-specific Review Operation rules are in Section 14.1.</w:t>
      </w:r>
    </w:p>
    <w:p>
      <w:pPr>
        <w:pStyle w:val="ListBullet"/>
        <w:numPr>
          <w:ilvl w:val="0"/>
          <w:numId w:val="1"/>
        </w:numPr>
        <w:rPr/>
      </w:pPr>
      <w:r>
        <w:t>The main GUI must include a Convert shn checkbox. The checkbox maps to --convert-shn and applies to Tag, Full Inventory, Add Shows, Tag in Place During Inventory, Tag Copy During Inventory, and Tag Copy/Delete Original During Inventory. Convert shn remains valid when no tagging box is checked; in that case it performs only SHN/SHNF-to-FLAC conversion and does not write tags.</w:t>
      </w:r>
    </w:p>
    <w:p>
      <w:pPr>
        <w:pStyle w:val="ListBullet"/>
        <w:numPr>
          <w:ilvl w:val="0"/>
          <w:numId w:val="1"/>
        </w:numPr>
        <w:rPr/>
      </w:pPr>
      <w:r>
        <w:t>When Tag in Place is checked for an inventory run, each Stage 3 inventory group with music files must attempt to write Artist, Album, normalized zero-padded track number, and Title tags to the inventoried music files. When Tag Copy is checked or --$copy is used, TLO copies each music folder, verifies all relative file paths and file sizes, tags the copy, and keeps the original source tree in the inventory. When Tag Copy/Delete Original is used, TLO captures metadata from the original source tree and records the destination in the inventory. A same-filesystem transfer is a directory rename/move with no size totaling or file-size verification. A cross-filesystem transfer is copied and verified by relative path and file size before the original is deleted; the destination is then tagged.</w:t>
      </w:r>
    </w:p>
    <w:p>
      <w:pPr>
        <w:pStyle w:val="ListBullet"/>
        <w:numPr>
          <w:ilvl w:val="0"/>
          <w:numId w:val="1"/>
        </w:numPr>
        <w:rPr/>
      </w:pPr>
      <w:r>
        <w:t>For Tag Copy/Delete Original, startup existing-inventory decisions must be based on the destination volume label and destination parent path. If the destination volume already has logs, the normal same-path, child-path, parent-path, and no-overlap rules apply to the destination tree. If the destination volume label is blank, the transferred destination entries are appended to the blank-volume log set.</w:t>
      </w:r>
    </w:p>
    <w:p>
      <w:pPr>
        <w:pStyle w:val="ListBullet"/>
        <w:numPr>
          <w:ilvl w:val="0"/>
          <w:numId w:val="1"/>
        </w:numPr>
        <w:rPr/>
      </w:pPr>
      <w:r>
        <w:t>Inventory-time tagging must not mutate folders when a show name cannot be determined. In that case, TLO must skip Tag in Place, Tag Copy, Tag Copy/Delete Original, and Rename Compliantly for that group, leave the original folder untouched, and still handle the group normally for inventory and unresolved-show reporting.</w:t>
      </w:r>
    </w:p>
    <w:p>
      <w:pPr>
        <w:pStyle w:val="ListBullet"/>
        <w:numPr>
          <w:ilvl w:val="0"/>
          <w:numId w:val="1"/>
        </w:numPr>
        <w:rPr/>
      </w:pPr>
      <w:r>
        <w:t>Inventory-time tagging results must be split into TLOHome/logs/tagsN.txt and TLOHome/logs/tageN.txt, where N is the same allocated short log token used by confN.log, deadN.log, compN.log, dupsN.log, groupsN.log, and metaN.log for that search path. Successful/status actions go to tagsN.txt. Warnings, skips, cancellations, and errors go to tageN.txt and must use structured reason-code prefixes such as SKIP_SETLIST_MISSING, SKIP_SETLIST_UNREADABLE, SKIP_TITLE_PARSE, SKIP_TITLE_COUNT, WARN_TITLE_PARTIAL, and ERROR_AUDIO_FILE when applicable.</w:t>
      </w:r>
    </w:p>
    <w:p>
      <w:pPr>
        <w:pStyle w:val="Normal"/>
        <w:rPr/>
      </w:pPr>
      <w:r>
        <w:t>When debug is enabled, Tag in Place During Inventory, Tag Copy During Inventory, and the standalone/GUI Tagger may write diagnostic setlist copies to TLOHome/debug only for skipped selected-setlist title diagnostics, such as no parseable tracks or a setlist/audio count mismatch, when a readable selected setlist can be included for review. The debug output .txt filename must match the generated inventory setlist filename. Successfully writing one or more generated Unknown titles, having no readable setlist, bad audio-file errors, invalid FLAC files, failed per-file tag writes, SHN conversion/file errors, metadata-only skips, and target-preparation failures must not create debug files; those conditions are recorded in tageN.txt/tageT.txt with reason codes.</w:t>
      </w:r>
    </w:p>
    <w:p>
      <w:pPr>
        <w:pStyle w:val="Normal"/>
        <w:rPr/>
      </w:pPr>
      <w:r>
        <w:t>Literal setlist-supplied titles such as "unknown", "(unknown title)", question-mark placeholders such as "??", "intro", "outro", "banter", or "encore break" are valid setlist titles and may be written exactly as supplied. Neither literal unknown-like titles nor generated Unknown fallback titles create a debug .txt file merely because they were written.</w:t>
      </w:r>
    </w:p>
    <w:p>
      <w:pPr>
        <w:pStyle w:val="Normal"/>
        <w:rPr/>
      </w:pPr>
      <w:r>
        <w:t>Standalone/GUI Tagger logging requirement: tagger UI/console output must be mirrored to TLOHome/logs/tagsT.txt and TLOHome/logs/tageT.txt. Progress/status/success lines go to tagsT.txt; errors, warnings, skips, cancellation lines, and completion lines that report file errors go to tageT.txt. Error-log lines should carry structured reason-code prefixes when practical, and each run should emit a problem-summary block by reason code when any reason-coded problems were recorded.</w:t>
      </w:r>
    </w:p>
    <w:p>
      <w:pPr>
        <w:pStyle w:val="ListBullet"/>
      </w:pPr>
      <w:r>
        <w:t>Tagging runs must append the complete path of each FLAC file that cannot be opened or written to TLOHome/CorruptFlacs.txt. This file is additive diagnostic output and does not replace tagsT.txt/tageT.txt or inventory-time tagsN.txt/tageN.txt logging.</w:t>
      </w:r>
    </w:p>
    <w:p>
      <w:pPr>
        <w:pStyle w:val="ListBullet"/>
        <w:numPr>
          <w:ilvl w:val="0"/>
          <w:numId w:val="1"/>
        </w:numPr>
        <w:rPr/>
      </w:pPr>
      <w:r>
        <w:t>Pause must request a traversal pause without deleting logs or closing the GUI. Resume must clear the pause request and continue the same inventory run.</w:t>
      </w:r>
    </w:p>
    <w:p>
      <w:pPr>
        <w:pStyle w:val="ListBullet"/>
        <w:numPr>
          <w:ilvl w:val="0"/>
          <w:numId w:val="1"/>
        </w:numPr>
        <w:rPr/>
      </w:pPr>
      <w:r>
        <w:t>Include an embedded console output window that captures console data.</w:t>
      </w:r>
    </w:p>
    <w:p>
      <w:pPr>
        <w:pStyle w:val="ListBullet"/>
        <w:numPr>
          <w:ilvl w:val="0"/>
          <w:numId w:val="1"/>
        </w:numPr>
        <w:rPr/>
      </w:pPr>
      <w:r>
        <w:t>The console sub-window should be 30 percent shorter than the prior oversized version.</w:t>
      </w:r>
    </w:p>
    <w:p>
      <w:pPr>
        <w:pStyle w:val="ListBullet"/>
        <w:numPr>
          <w:ilvl w:val="0"/>
          <w:numId w:val="1"/>
        </w:numPr>
        <w:rPr/>
      </w:pPr>
      <w:r>
        <w:t>If possible, reuse tlo-gi.py and call it with the correct arguments. Embedding main logic is also acceptable.</w:t>
      </w:r>
    </w:p>
    <w:p>
      <w:pPr>
        <w:pStyle w:val="ListBullet"/>
        <w:numPr>
          <w:ilvl w:val="0"/>
          <w:numId w:val="1"/>
        </w:numPr>
        <w:rPr/>
      </w:pPr>
      <w:r>
        <w:t>Spread out text input box lines slightly more horizontally than before.</w:t>
      </w:r>
    </w:p>
    <w:p>
      <w:pPr>
        <w:pStyle w:val="ListBullet"/>
        <w:numPr>
          <w:ilvl w:val="0"/>
          <w:numId w:val="1"/>
        </w:numPr>
        <w:rPr/>
      </w:pPr>
      <w:r>
        <w:t>The main GUI window title bar must read TLO Inventory GUI v1.4 Build XX, where XX is the current bundle number.</w:t>
      </w:r>
    </w:p>
    <w:p>
      <w:pPr>
        <w:pStyle w:val="ListBullet"/>
        <w:numPr>
          <w:ilvl w:val="0"/>
          <w:numId w:val="1"/>
        </w:numPr>
        <w:rPr/>
      </w:pPr>
      <w:r>
        <w:t>Change the bold GUI heading to Traders Little Organizer(TM) Inventory App.</w:t>
      </w:r>
    </w:p>
    <w:p>
      <w:pPr>
        <w:pStyle w:val="ListBullet"/>
        <w:numPr>
          <w:ilvl w:val="0"/>
          <w:numId w:val="1"/>
        </w:numPr>
        <w:rPr/>
      </w:pPr>
      <w:r>
        <w:t>Add/maintain a -h option for tlo-ggi.py. Help must describe visible text boxes and checkboxes and list arguments as they should be specified on the command line. The GUI help text must not describe a visible Debug checkbox, but command-line help may list --debug [BOOL] as a command-line-only option.</w:t>
      </w:r>
    </w:p>
    <w:p>
      <w:pPr>
        <w:pStyle w:val="Normal"/>
        <w:rPr/>
      </w:pPr>
      <w:r>
        <w:t>Rename Compliantly must not require Tag in Place, Tag Copy, or Tag Copy/Delete Original, but it must not be combined with Compliant. For non-compliant Full Inventory, Rename Compliantly by itself means rename the identified original show folder in place without tagging. A broad collection or search parent containing unrelated music folders must never be renamed as one show merely because descendant folders contain wrapper or volume-like suffixes. The GUI and CLI must accept the valid rename-only combination without an alert or validation error. A standalone or GUI Tag run always writes tags directly to the selected Tagging Path and may rename an identified show folder before tagging, provided Compliant is not selected.</w:t>
      </w:r>
    </w:p>
    <w:p>
      <w:pPr>
        <w:pStyle w:val="Normal"/>
        <w:rPr/>
      </w:pPr>
      <w:r>
        <w:t>The Tagger window must include a console subwindow that receives the same concise folder/file messages written by the standalone CLI tagger. It must not contain duplicated main-window option checkboxes. When Tag is clicked, it must read the current main-window values and follow the canonical Review Operation reporting rules in Section 14.1. Standalone Tag always writes directly to the selected Tagging Path: the three inventory copy-mode values are reported but do not cause copying or moving. The standalone CLI must continue to reject Compliant and Rename Compliantly together.</w:t>
      </w:r>
    </w:p>
    <w:p>
      <w:pPr>
        <w:pStyle w:val="Normal"/>
        <w:rPr/>
      </w:pPr>
      <w:r>
        <w:t>The Tagger window must include a text input labeled Tagging Path: pre-populated with the readyForXfer folder under the resolved TLOHome, or with tagPath when tagPath is non-empty.</w:t>
      </w:r>
    </w:p>
    <w:p>
      <w:pPr>
        <w:pStyle w:val="ListBullet"/>
      </w:pPr>
      <w:r>
        <w:t>On native Windows, the TLO Tagger window must accept folders dropped from Windows Explorer into the Tagging Path field. Dropping a folder replaces the Tagging Path value; dropping a file uses the file's containing folder when available. The tagger path field uses the same Windows TkDND/tkinterdnd2 provider as Search Path drag/drop and does not register a drop target on non-Windows platforms.</w:t>
      </w:r>
    </w:p>
    <w:p>
      <w:pPr>
        <w:pStyle w:val="Normal"/>
        <w:rPr/>
      </w:pPr>
      <w:r>
        <w:t>Clicking the main Tag button must open a new window whose title bar reads TLO Tagger GUI v1.4 Build XX. Inside the window, the only application heading must be the bold text Traders Little Helper(TM) Tagger App. Do not add a second in-window version heading. Beneath the heading, display a concise statement that Tag writes directly to the selected path and does not inventory, copy, move, or delete folders; the statement must identify verified SHN-to-FLAC conversion as the sole source-file deletion exception. The Tag window must not display duplicated main-window option checkboxes. It must read the current main-window checkbox values when Tag is clicked and report every value in the shared Review Operation dialog before execution.</w:t>
      </w:r>
    </w:p>
    <w:p>
      <w:pPr>
        <w:pStyle w:val="Normal"/>
        <w:rPr/>
      </w:pPr>
      <w:r>
        <w:t>tlo-ggi.py must accept --tag-path STRING as a tagger-only launcher value. If supplied, it pre-populates the tagger path field and must not be passed into or used by full inventory or Add Shows processing.</w:t>
      </w:r>
    </w:p>
    <w:p>
      <w:pPr>
        <w:pStyle w:val="Normal"/>
        <w:rPr/>
      </w:pPr>
      <w:r>
        <w:t>When the main GUI Tag button opens the standalone Tagger window, the main etreeDB checkbox state must be passed into the tagger. If enabled, and no selected setlist is found or local setlist song titles cannot be discovered or used, the tagger must query eTreeDB by Artist and yyyy-mm-dd Date for setlist song titles before falling back to filename-derived or unknown titles. Inventory-time tagging uses existing audio title tags as its last-resort track-title fallback when matching setlist/comma/eTree titles are unavailable or count-mismatched.</w:t>
      </w:r>
    </w:p>
    <w:p>
      <w:pPr>
        <w:pStyle w:val="Normal"/>
        <w:rPr/>
      </w:pPr>
      <w:r>
        <w:t>The Tagger window must include a Quit button. If tagging is not active, Quit closes only the Tagger window. If tagging is active, Quit must request cancellation of the tagger, close only the Tagger window, and leave the main Inventory GUI open. Main GUI actions that conflict with tagging may remain disabled until the tagger worker observes the cancel request and exits. Tag writing must check for cancellation before each audio-file write so a long folder can stop between files.</w:t>
      </w:r>
    </w:p>
    <w:p>
      <w:pPr>
        <w:pStyle w:val="Normal"/>
        <w:rPr/>
      </w:pPr>
      <w:r>
        <w:t>The GUI Tagger window must use a compact horizontal layout: the Tagging Path input and output console must be approximately half the character width of the previous Tagger window, while remaining resizable. Long mode-summary text should wrap instead of forcing the window wider.</w:t>
      </w:r>
    </w:p>
    <w:p>
      <w:pPr>
        <w:pStyle w:val="Normal"/>
        <w:rPr/>
      </w:pPr>
      <w:r>
        <w:t>When a GUI Tagger run completes, the Tagger window console must display an elapsed-time line after the completion/error output. Format elapsed time as M:SS for runs under one hour and H:MM:SS for runs of one hour or longer. This display is for the Tagger window; inventory-time tagging log behavior is unchanged.</w:t>
      </w:r>
    </w:p>
    <w:p>
      <w:pPr>
        <w:pStyle w:val="Heading2"/>
      </w:pPr>
      <w:r>
        <w:t>14.1 User-Experience Workflow</w:t>
      </w:r>
    </w:p>
    <w:p>
      <w:pPr>
        <w:pStyle w:val="ListBullet"/>
      </w:pPr>
      <w:r>
        <w:t>The main tlo-ggi window must not display an Error/OK validation-status label beneath the Search Path text box. Inventory must remain clickable whenever no conflicting workflow is active, even when Search Path or toBeInventoried.txt is invalid, so clicking it can show the validation error directly. The former main-window Tag Copy/Delete Original path label, text box, and validation label must not exist. Its modal destination dialog may display path and available-storage validation beside the dialog controls. Option-combination, Add Shows storage-volume, and Tagging Path validation may remain visible near their related controls. The Tag button inside the Tagger may remain disabled until its required Tagging Path is valid.</w:t>
      </w:r>
    </w:p>
    <w:p>
      <w:pPr>
        <w:pStyle w:val="ListBullet"/>
      </w:pPr>
      <w:r>
        <w:t>Before Full Inventory, Tag, Process New Shows, or Process Potential Duplicate/Upgrades begins, the shared Review Operation dialog must report the same ordered main-window checkbox section: etreeDB; Compliant; Tag in Place; Artist in Album Tag; setlist.fm; setlist.fm upgrade; Rename Compliantly; Tag Copy; Convert shn; As-Is Artist Name; Tag Copy/Delete Original; Dry run. After that common section, report workflow-specific paths or path sources, destinations, duplicate checking, performance settings, applicable warnings, and the action that will occur.</w:t>
      </w:r>
    </w:p>
    <w:p>
      <w:pPr>
        <w:pStyle w:val="ListBullet"/>
      </w:pPr>
      <w:r>
        <w:t>After Start is selected, append the reviewed settings to TLOHome/logs/runSettings.log before launching the worker or Dry run. Use the same review-line list for the dialog and the log entry so displayed and recorded values cannot diverge.</w:t>
      </w:r>
    </w:p>
    <w:p>
      <w:pPr>
        <w:pStyle w:val="ListBullet"/>
      </w:pPr>
      <w:r>
        <w:t>Dry run must perform the same show-group discovery, metadata resolution, enabled lookup sequence, album construction, and track-title selection needed to describe the results of the requested operation, but it must not write tags, rename, copy, move, delete, convert, create inventory output, or modify TLO logs. The main Inventory window must provide the single Dry run checkbox. Full Inventory uses it directly; Tag and Add Shows use its current value and must not provide separate Dry run controls. When main Dry run is checked, clicking Inventory, Tag, Process New Shows, or Process Potential Duplicate/Upgrades analyzes the selected input instead of starting the destructive or output-producing operation. Full Inventory and Add Shows Dry runs must list the resulting Show Name for every resolved show group. When an inventory tagging mode is selected, and for every Tag Dry run, the output must list each applicable audio file together with the Artist, Album, Track, and Title values that would be written, the title source, and any planned SHN-to-FLAC target or reason the file would be skipped. Unresolved metadata and title-selection failures must be shown with the affected folder. Every dry run must report root count, music-folder count, media-file count, SHN/SHNF count, planned actions, input/read issues, and elapsed time.</w:t>
      </w:r>
    </w:p>
    <w:p>
      <w:pPr>
        <w:pStyle w:val="ListBullet"/>
      </w:pPr>
      <w:r>
        <w:t>The main Inventory window, Add Shows updater, and Tagger window must each display a structured Current Operation area during active work. It must show the current stage or task, current path or item when available, useful cumulative counts when available, warning and error counts, elapsed time, and an active progress indicator while preserving the existing detailed console output where applicable. The indeterminate activity indicator in each of these three windows must use a 120-millisecond animation interval, which is one-tenth the movement speed of the former 12-millisecond interval; this visual timing must not affect operation throughput, worker scheduling, elapsed-time updates, or results.</w:t>
      </w:r>
    </w:p>
    <w:p>
      <w:pPr>
        <w:pStyle w:val="ListBullet"/>
      </w:pPr>
      <w:r>
        <w:t>Existing console and log lines must be classified into user-facing issue groups where possible, including unidentified shows, missing setlists, track-title mismatches, unreadable audio, copy/verification problems, online lookup problems, tagging warnings, Add Shows folder errors, and general file or operation errors. Duplicate issue records should be suppressed.</w:t>
      </w:r>
    </w:p>
    <w:p>
      <w:pPr>
        <w:pStyle w:val="ListBullet"/>
      </w:pPr>
      <w:r>
        <w:t>After Full Inventory, Add Shows processing, or Tag finishes, display a completion summary with success or failure state, elapsed time, operation-specific counts, warning count, and error count. The completion window must provide View Issues, Open Output when applicable, Open Logs, and Close actions. Add Shows folder failures must retain the affected folder path and exception message for issue review.</w:t>
      </w:r>
    </w:p>
    <w:p>
      <w:pPr>
        <w:pStyle w:val="ListBullet"/>
      </w:pPr>
      <w:r>
        <w:t>The Issues window must group records by reason, show severity and message, permit selection of individual issues, and provide an Open Path action when the issue contains an accessible file or directory path. Detailed logs remain authoritative and accessible from the completion window.</w:t>
      </w:r>
    </w:p>
    <w:p>
      <w:pPr>
        <w:pStyle w:val="ListBullet"/>
      </w:pPr>
      <w:r>
        <w:t>The Tagger window must remain intentionally simpler than the Inventory window: it tags the selected path directly, contains no inventory copy modes or destinations, has no duplicated main-window option checkboxes, and does not display a separate notice about inheriting values from the main window. It provides Tagging Path, Tag, Pause/Resume, Quit, Current Operation, and output controls. It must not provide a Dry run checkbox. When the main-window Dry run value is on, clicking Tag performs the non-destructive preview path and does not write tags or convert, rename, or delete files.</w:t>
      </w:r>
    </w:p>
    <w:p>
      <w:pPr>
        <w:pStyle w:val="Heading2"/>
        <w:rPr/>
      </w:pPr>
      <w:r>
        <w:t>14.2 Packaged Windows GUI Requirements</w:t>
      </w:r>
    </w:p>
    <w:p>
      <w:pPr>
        <w:pStyle w:val="ListBullet"/>
        <w:numPr>
          <w:ilvl w:val="0"/>
          <w:numId w:val="1"/>
        </w:numPr>
        <w:rPr/>
      </w:pPr>
      <w:r>
        <w:t>When packaged as a Windows PyInstaller executable, tlo-ggi.exe must support multiprocessing path-worker startup without treating worker bootstrap arguments as GUI arguments and without launching child GUI windows.</w:t>
      </w:r>
    </w:p>
    <w:p>
      <w:pPr>
        <w:pStyle w:val="Heading2"/>
      </w:pPr>
      <w:r>
        <w:t>14.3 User Manual Content Requirements</w:t>
      </w:r>
    </w:p>
    <w:p>
      <w:pPr>
        <w:pStyle w:val="ListBullet"/>
      </w:pPr>
      <w:r>
        <w:t>The current RTF manual must carry document metadata/keywords that name the current public build; stale build numbers in document properties are not permitted.</w:t>
      </w:r>
    </w:p>
    <w:p>
      <w:r>
        <w:t>The current user manual shall provide a first-inventory Quick Start before detailed installation and path theory.</w:t>
      </w:r>
    </w:p>
    <w:p>
      <w:r>
        <w:t>The manual shall include symptom/cause/action troubleshooting and explain the structured SKIP_, WARN_, and ERROR_ reason codes exposed to users.</w:t>
      </w:r>
    </w:p>
    <w:p>
      <w:r>
        <w:t>The documented command-line table shall cover every supported user-facing option while continuing to omit intentionally undocumented compatibility options.</w:t>
      </w:r>
    </w:p>
    <w:p>
      <w:r>
        <w:t>The manual shall include a glossary for TLO-specific terms and shall identify summary.log, runSettings.log, tokenized Inventory logs, tagsT.txt, and tageT.txt accurately.</w:t>
      </w:r>
    </w:p>
    <w:p>
      <w:r>
        <w:t>The manual shall include current screenshots of the main Inventory window, Review Operation, Tag, and Add Shows. Screenshots are explanatory and do not override normative control requirements.</w:t>
      </w:r>
    </w:p>
    <w:p>
      <w:r>
        <w:t>One-time optional shortcut instructions shall not outweigh recurring operational, troubleshooting, tagging, and logging guidance.</w:t>
      </w:r>
    </w:p>
    <w:p>
      <w:pPr>
        <w:pStyle w:val="Heading2"/>
      </w:pPr>
      <w:r>
        <w:t>14.4 Research GUI</w:t>
      </w:r>
    </w:p>
    <w:p>
      <w:pPr/>
      <w:r>
        <w:t>The main Inventory GUI shall include a visible button labeled Research. Research is read-only and uses the Inventory GUI's already-resolved TLOHome.</w:t>
      </w:r>
    </w:p>
    <w:p>
      <w:pPr/>
      <w:r>
        <w:t>When Research is clicked, TLO shall open a Research input dialog containing one text-entry box and Search/Close actions. The prompt shall state that the input is an artist followed by a date, a venue, or a date. The Search button shall remain the active/default action whenever the Research dialog is active, and pressing Return or keypad Enter while focus is anywhere within that Research dialog shall be equivalent to Search.</w:t>
      </w:r>
    </w:p>
    <w:p>
      <w:pPr/>
      <w:r>
        <w:t>A successful GUI research operation shall display the same formatted result produced by the standalone tlo-research command in a new read-only, non-wrapping text window with vertical scrolling and a horizontal scrollbar along the bottom of the results box. Ctrl-A at the results-window level shall select the complete result even when another control owns focus. The results window shall include a Search button, and Ctrl-F at the results-window level shall invoke the same action. Search shall open a dialog containing a text box labeled Search for: plus mutually exclusive Forward and Backwards radio buttons, with Forward selected by default. Repeated searches shall continue from the current selection/insertion position in the selected direction, compare case-insensitively, and wrap to the opposite end if no further match exists in that direction. If the requested text is absent from the complete result, report Not found without altering the result text. Search errors, missing TLOHome/logs, or invalid Research input shall be reported in GUI message dialogs without terminating the Inventory GUI.</w:t>
      </w:r>
    </w:p>
    <w:p>
      <w:pPr>
        <w:pStyle w:val="Heading1"/>
        <w:rPr/>
      </w:pPr>
      <w:r>
        <w:t>15. Ctrl-C, Quit, and Startup Errors</w:t>
      </w:r>
    </w:p>
    <w:p>
      <w:pPr>
        <w:pStyle w:val="ListBullet"/>
        <w:numPr>
          <w:ilvl w:val="0"/>
          <w:numId w:val="1"/>
        </w:numPr>
        <w:rPr/>
      </w:pPr>
      <w:r>
        <w:t>Trap Ctrl-C. When Ctrl-C occurs during active inventory scanning or worker execution, request cancellation, terminate the active path-worker pool before log deletion when one exists, delete only tokenized logs whose tokens were newly allocated by the interrupted run, and exit cleanly. Tokens reused from an earlier inventory must never be deleted wholesale during cancellation.</w:t>
      </w:r>
    </w:p>
    <w:p>
      <w:pPr>
        <w:pStyle w:val="ListBullet"/>
        <w:numPr>
          <w:ilvl w:val="0"/>
          <w:numId w:val="1"/>
        </w:numPr>
        <w:rPr/>
      </w:pPr>
      <w:r>
        <w:t>Trap the Quit button.</w:t>
      </w:r>
    </w:p>
    <w:p>
      <w:pPr>
        <w:pStyle w:val="ListBullet"/>
        <w:numPr>
          <w:ilvl w:val="0"/>
          <w:numId w:val="1"/>
        </w:numPr>
        <w:rPr/>
      </w:pPr>
      <w:r>
        <w:t>Before inventory starts, Quit closes the GUI normally and no logs are deleted.</w:t>
      </w:r>
    </w:p>
    <w:p>
      <w:pPr>
        <w:pStyle w:val="ListBullet"/>
        <w:numPr>
          <w:ilvl w:val="0"/>
          <w:numId w:val="1"/>
        </w:numPr>
        <w:rPr/>
      </w:pPr>
      <w:r>
        <w:t>During active inventory scanning or worker execution, Quit must request cancellation, terminate the active path-worker pool before log deletion when one exists, delete only tokenized logs whose tokens were newly allocated by the interrupted run, close/destroy the GUI window, and exit the process so child workers cannot continue writing logs after the GUI closes. Reused pre-existing log tokens are not cancellation-cleanup targets.</w:t>
      </w:r>
    </w:p>
    <w:p>
      <w:pPr>
        <w:pStyle w:val="ListBullet"/>
        <w:numPr>
          <w:ilvl w:val="0"/>
          <w:numId w:val="1"/>
        </w:numPr>
        <w:rPr/>
      </w:pPr>
      <w:r>
        <w:t>The implementation must delete logs only after the worker-pool termination request has been issued, so workers do not recreate or continue writing tokenized logs after cleanup.</w:t>
      </w:r>
    </w:p>
    <w:p>
      <w:pPr>
        <w:pStyle w:val="ListBullet"/>
        <w:numPr>
          <w:ilvl w:val="0"/>
          <w:numId w:val="1"/>
        </w:numPr>
        <w:rPr/>
      </w:pPr>
      <w:r>
        <w:t>If the active inventory is running serially rather than in a process pool, Quit must still request cancellation, delete only newly allocated active-run tokenized logs, and exit the process. Reused tokens remain intact.</w:t>
      </w:r>
    </w:p>
    <w:p>
      <w:pPr>
        <w:pStyle w:val="ListBullet"/>
        <w:numPr>
          <w:ilvl w:val="0"/>
          <w:numId w:val="1"/>
        </w:numPr>
        <w:rPr/>
      </w:pPr>
      <w:r>
        <w:t>After inventory scanning has completed, Quit must not delete completed logs. If cleanup, aggregation, or output generation is still running, allow that work to finish unless the user confirms forced exit. After postprocess completion, Quit closes the GUI normally.</w:t>
      </w:r>
    </w:p>
    <w:p>
      <w:pPr>
        <w:pStyle w:val="ListBullet"/>
        <w:numPr>
          <w:ilvl w:val="0"/>
          <w:numId w:val="1"/>
        </w:numPr>
        <w:rPr/>
      </w:pPr>
      <w:r>
        <w:t>Startup error messages must be presented to the user in a readable way.</w:t>
      </w:r>
    </w:p>
    <w:p>
      <w:pPr>
        <w:pStyle w:val="ListBullet"/>
        <w:numPr>
          <w:ilvl w:val="0"/>
          <w:numId w:val="1"/>
        </w:numPr>
        <w:rPr/>
      </w:pPr>
      <w:r>
        <w:t>After the inventory phase finishes, print a console message stating that cleanup, aggregation, and output generation still need to run.</w:t>
      </w:r>
    </w:p>
    <w:p>
      <w:pPr>
        <w:pStyle w:val="ListBullet"/>
        <w:numPr>
          <w:ilvl w:val="0"/>
          <w:numId w:val="1"/>
        </w:numPr>
        <w:rPr/>
      </w:pPr>
      <w:r>
        <w:t>After cleanup, aggregation, and output generation finish, print a console message stating that cleanup, aggregation, and output generation are complete.</w:t>
      </w:r>
    </w:p>
    <w:p>
      <w:pPr>
        <w:pStyle w:val="ListBullet"/>
        <w:numPr>
          <w:ilvl w:val="0"/>
          <w:numId w:val="1"/>
        </w:numPr>
        <w:rPr/>
      </w:pPr>
      <w:r>
        <w:t>In GUI mode, errors must not be written only to a console window that closes before they can be read.</w:t>
      </w:r>
    </w:p>
    <w:p>
      <w:pPr>
        <w:pStyle w:val="Normal"/>
        <w:rPr/>
      </w:pPr>
      <w:r/>
    </w:p>
    <w:p>
      <w:pPr>
        <w:pStyle w:val="Heading1"/>
      </w:pPr>
      <w:r>
        <w:t>16. Non-Functional and Input-Safety Requirements</w:t>
      </w:r>
    </w:p>
    <w:p>
      <w:pPr>
        <w:pStyle w:val="Heading2"/>
      </w:pPr>
      <w:r>
        <w:t>16.1 Bounded Reads and Malformed Input</w:t>
      </w:r>
    </w:p>
    <w:p>
      <w:pPr>
        <w:pStyle w:val="ListBullet"/>
      </w:pPr>
      <w:r>
        <w:t>The selected-setlist metadata header reader is an untrusted-input path and must follow the same bounded-read policy: reject text files larger than 16 MiB and read at most a 1 MiB sample because only the first 100 usable metadata lines are consumed. It must not read the entire file and then discard the remainder.</w:t>
      </w:r>
    </w:p>
    <w:p>
      <w:r>
        <w:t>Files encountered in scanned collection trees are untrusted input. Ordinary text sampling must read no more than 1 MiB from disk before decoding and applying any smaller character-sample limit. A requested full ordinary-text read larger than 16 MiB must be rejected with a readable outcome instead of loading the complete file into memory.</w:t>
      </w:r>
    </w:p>
    <w:p>
      <w:r>
        <w:t>For DOCX setlist candidates, inspect the ZipInfo.file_size of word/document.xml before reading or decompressing it. Reject the candidate when the uncompressed entry exceeds 16 MiB. Missing, corrupt, encrypted, oversized, binary-like, or otherwise unreadable candidates must be treated as unusable input, reported with the affected path when practical, and must not stop unrelated roots or shows from being processed.</w:t>
      </w:r>
    </w:p>
    <w:p>
      <w:pPr>
        <w:pStyle w:val="Heading2"/>
      </w:pPr>
      <w:r>
        <w:t>16.2 Availability and Timeout Bounds</w:t>
      </w:r>
    </w:p>
    <w:p>
      <w:pPr>
        <w:pStyle w:val="ListBullet"/>
      </w:pPr>
      <w:r>
        <w:t>On macOS, paths passed to osascript for Trash/Recycle Bin operations must be passed as argv/data rather than interpolated into AppleScript source text.</w:t>
      </w:r>
    </w:p>
    <w:p>
      <w:pPr>
        <w:pStyle w:val="ListBullet"/>
      </w:pPr>
      <w:r>
        <w:t>The duplicate-cleanup FLAC full-decode validator must use a finite per-file timeout of 180 seconds. A timeout is unverifiable, not healthy or corrupt; if a kept folder contains an unverifiable FLAC, do not relocate that duplicate cluster.</w:t>
      </w:r>
    </w:p>
    <w:p>
      <w:r>
        <w:t>External requests, interprocess coordination waits, and converter invocations must use finite timeouts. The setlist.fm state location, atomic-write rules, 20-second reservation-lock deadline, normal/upgraded request spacing and quota are canonical in Appendix I. SHN/SHNF conversion uses a maximum per-file runtime of 30 minutes. A timeout must produce a readable observation or error and allow processing to continue when the affected operation is optional.</w:t>
      </w:r>
    </w:p>
    <w:p>
      <w:pPr>
        <w:pStyle w:val="Heading2"/>
      </w:pPr>
      <w:r>
        <w:t>16.3 Collection Size and Path Depth</w:t>
      </w:r>
    </w:p>
    <w:p>
      <w:r>
        <w:t>TLO imposes no application-specific fixed ceiling on the number of search roots, show groups, music folders, or media files. Practical capacity is determined by the selected performance mode, configured worker cap, available memory, filesystem performance, and platform limits. Path length and directory depth are subject to the host operating system and filesystem; path-too-long, inaccessible, or malformed-path failures must be reported for the affected item without crashing unrelated roots.</w:t>
      </w:r>
    </w:p>
    <w:p>
      <w:r>
        <w:t>The bounded-read rules in Section 16.1 are the required memory protection for individual candidate text files. No guarantee is made that a complete inventory has a fixed memory ceiling independent of the number of metadata records being processed.</w:t>
      </w:r>
    </w:p>
    <w:p>
      <w:pPr>
        <w:pStyle w:val="Heading2"/>
      </w:pPr>
      <w:r>
        <w:t>16.4 Diagnostic Log Growth Policy</w:t>
      </w:r>
    </w:p>
    <w:p>
      <w:pPr>
        <w:pStyle w:val="ListBullet"/>
      </w:pPr>
      <w:r>
        <w:t>Intentional best-effort broad exception boundaries must not silently pass. Record suppressed exceptions at debug level, narrow the exception type where practical, and surface update-settings persistence failures in the update-check result so a read-only/full TLOHome does not fail quietly.</w:t>
      </w:r>
    </w:p>
    <w:p>
      <w:r>
        <w:t>TLOHome/CorruptFlacs.txt is append-only diagnostic history. Duplicate paths across runs are intentionally allowed as evidence of repeated failure. TLO does not automatically rotate, truncate, or deduplicate this file; the operator may archive or delete it when no inventory or Tag action is active.</w:t>
      </w:r>
    </w:p>
    <w:p>
      <w:r>
        <w:t>TLOHome/logs/runSettings.log is also append-only and is not automatically rotated or truncated. Tokenized per-run logs remain governed by the active-run allocation, replacement, and cleanup rules in Section 12. Operators may archive runSettings.log when no TLO action is active.</w:t>
      </w:r>
    </w:p>
    <w:p>
      <w:pPr>
        <w:pStyle w:val="Heading1"/>
      </w:pPr>
      <w:r>
        <w:t>17. Test Suite Architecture and Execution Requirements</w:t>
      </w:r>
    </w:p>
    <w:p>
      <w:pPr>
        <w:pStyle w:val="Heading2"/>
      </w:pPr>
      <w:r>
        <w:t>17.1 Test Categories</w:t>
      </w:r>
    </w:p>
    <w:p>
      <w:pPr/>
      <w:r>
        <w:t>The regression suite shall separate fast unit checks, executable behavior checks, multi-module integration scenarios, source/document/release contracts, and GUI checks into tests/unit, tests/behavior, tests/integration, and tests/contracts.</w:t>
      </w:r>
    </w:p>
    <w:p>
      <w:pPr>
        <w:pStyle w:val="ListBullet"/>
      </w:pPr>
      <w:r>
        <w:t>Source-text and documentation assertions remain valid contract tests, but they shall not be presented as behavioral assurance.</w:t>
      </w:r>
    </w:p>
    <w:p>
      <w:pPr>
        <w:pStyle w:val="ListBullet"/>
      </w:pPr>
      <w:r>
        <w:t>Important application behavior shall be tested by executing functions or workflows rather than only inspecting source text.</w:t>
      </w:r>
    </w:p>
    <w:p>
      <w:pPr>
        <w:pStyle w:val="Heading2"/>
      </w:pPr>
      <w:r>
        <w:t>17.2 Pytest Markers</w:t>
      </w:r>
    </w:p>
    <w:p>
      <w:pPr>
        <w:pStyle w:val="ListBullet"/>
      </w:pPr>
      <w:r>
        <w:t>Every test module must carry exactly one category marker from unit, behavior, contract, or integration. Trait markers such as gui and slow may be added in addition. The suite must contain and use both gui and slow, and a contract test must enforce category-marker coverage across tests/.</w:t>
      </w:r>
    </w:p>
    <w:p>
      <w:pPr/>
      <w:r>
        <w:t>The suite shall register and use the pytest markers contract, gui, integration, slow, behavior, and unit. Unknown-marker warnings are not acceptable.</w:t>
      </w:r>
    </w:p>
    <w:p>
      <w:pPr>
        <w:pStyle w:val="Heading2"/>
      </w:pPr>
      <w:r>
        <w:t>17.3 Tkinter Handling</w:t>
      </w:r>
    </w:p>
    <w:p>
      <w:pPr/>
      <w:r>
        <w:t>GUI test modules shall use pytest.importorskip("tkinter", reason="Tkinter is required for GUI regression tests"). Systems without Tkinter shall still run the non-GUI suite. Tests that execute Tk widgets may skip when no graphical display is available; the Linux build shall execute them under xvfb-run.</w:t>
      </w:r>
    </w:p>
    <w:p>
      <w:pPr>
        <w:pStyle w:val="Heading2"/>
      </w:pPr>
      <w:r>
        <w:t>17.4 Behavioral and Integration Coverage</w:t>
      </w:r>
    </w:p>
    <w:p>
      <w:pPr>
        <w:pStyle w:val="ListBullet"/>
      </w:pPr>
      <w:r>
        <w:t>When a metadata/parser area is touched, move that topic-sized regression batch out of tests/_legacy_suite.py into a categorized module and add direct unit tests for pure predicates where practical. Build 397 migrates the Build 395/396 setlist regressions and adds focused unit coverage for positional filename dates, bounded reads, timeouts, updater limits, shared location constants, and macOS Trash argument handling.</w:t>
      </w:r>
    </w:p>
    <w:p>
      <w:pPr/>
      <w:r>
        <w:t>Behavioral coverage shall execute the shared progress-indicator interval, the actual checkbox grid positions, command-line parsing, Artist in Album tag behavior, parenthetical preservation, and exact runSettings.log output.</w:t>
      </w:r>
    </w:p>
    <w:p>
      <w:pPr/>
      <w:r>
        <w:t>The integration category shall contain at least ten small synthetic filesystem or workflow scenarios covering grouping, unrelated-sibling blocking, rename path propagation, same-filesystem Copy/Delete moves without size checks, cross-filesystem Copy/Delete verification, ordinary Tag Copy verification, dry-run non-modification, Add Shows, and labeled-volume re-inventory replacement. Transfer coverage must include nested non-music files and empty descendant directories for same-filesystem moves, cross-filesystem Copy/Delete Original, and ordinary Tag Copy.</w:t>
      </w:r>
    </w:p>
    <w:p>
      <w:pPr>
        <w:pStyle w:val="ListBullet"/>
      </w:pPr>
      <w:r>
        <w:t>Synthetic audio placeholders and mocked Mutagen/conversion operations may be used when real encoded audio is not necessary to exercise the workflow.</w:t>
      </w:r>
    </w:p>
    <w:p>
      <w:pPr>
        <w:pStyle w:val="Heading2"/>
      </w:pPr>
      <w:r>
        <w:t>17.5 Build Process Compatibility</w:t>
      </w:r>
    </w:p>
    <w:p>
      <w:pPr>
        <w:pStyle w:val="ListBullet"/>
      </w:pPr>
      <w:r>
        <w:t>When modifying the high-complexity metadata-resolution path, extract the adjacent decision into a named, directly testable helper instead of adding another inline branch to the large resolver.</w:t>
      </w:r>
    </w:p>
    <w:p>
      <w:pPr>
        <w:pStyle w:val="ListBullet"/>
      </w:pPr>
      <w:r>
        <w:t>tlo_version.py is the authoritative release-version/summary source. Per-module stale package-version comments and duplicated __version_summary__ strings must not be carried forward. Modules may retain a simple __version__ stamp when required by release contracts.</w:t>
      </w:r>
    </w:p>
    <w:p>
      <w:pPr/>
      <w:r>
        <w:t>The flat source-bundle root shall retain test_tlo_requirements.py as a compatibility entry point for TLO_GitHub_Build_Process_v054 and later. That entry point shall load the categorized suite so the existing CI command continues to execute all tests.</w:t>
      </w:r>
    </w:p>
    <w:p>
      <w:pPr>
        <w:pStyle w:val="Heading1"/>
      </w:pPr>
      <w:r>
        <w:t>18. Duplicate Cleanup Utility Requirements</w:t>
      </w:r>
    </w:p>
    <w:p>
      <w:pPr>
        <w:pStyle w:val="Heading2"/>
      </w:pPr>
      <w:r>
        <w:t>18.1 Entry Point, TLOHome, and Input Path</w:t>
      </w:r>
    </w:p>
    <w:p>
      <w:pPr/>
      <w:r>
        <w:t>The release shall include tlo-deleteDupes.py as a console main. It shall accept one required positional Input Path plus --TLOHome and the compatibility alias --myTLO. TLOHome resolution shall use the same shared resolution logic as the other mains. The Input Path shall be rejected unless it is a fully qualified, existing, readable directory path.</w:t>
      </w:r>
    </w:p>
    <w:p>
      <w:pPr>
        <w:pStyle w:val="Heading2"/>
      </w:pPr>
      <w:r>
        <w:t>18.2 Candidate Discovery and Content-Equivalence Clusters</w:t>
      </w:r>
    </w:p>
    <w:p>
      <w:pPr/>
      <w:r>
        <w:t>The utility shall search the Input Path recursively and analyze same-parent sibling directories. Candidate discovery shall combine two rules. First, an exact copy family consists of folders whose names reduce to the same base when a terminal case-insensitive (copyN) or (copy N) suffix is removed; X, X (copy2), and X (copy3) therefore belong to one candidate family, and numbered copies shall be compared with one another even when X is absent or has different contents. Second, folders whose normalized artist and date are identical shall be candidate siblings even when the remaining folder-name text differs. Same-artist/date discovery shall recognize a standalone four-digit 19xx/20xx year, a yyyy-mm-dd style date with numeric or xx month/day components, and a four-digit-year to four-digit-year range. An unknown date without an actual four-digit year shall not broaden candidate discovery. Candidate discovery alone shall never establish that two folders are duplicates.</w:t>
      </w:r>
    </w:p>
    <w:p>
      <w:pPr>
        <w:pStyle w:val="Heading2"/>
      </w:pPr>
      <w:r>
        <w:t>18.3 Duplicate Comparison Rule</w:t>
      </w:r>
    </w:p>
    <w:p>
      <w:pPr/>
      <w:r>
        <w:t>Before moving any candidate into the duplicates holding folder, the utility shall compare the complete recursive manifests of all folders in each same-parent discovery component. A duplicate match requires the same relative directory structure, including empty nested directories, and the same relative file names and file sizes throughout the entire tree. The duplicate-cleanup comparison intentionally does not hash or compare file bytes and does not use timestamps, ownership, permissions, or other filesystem metadata. Corresponding symbolic links, when present, shall have the same relative name and link target and shall not be followed during comparison. Folders with identical manifests shall form a content-equivalence cluster, so copies are compared with one another in addition to being compared with unsuffixed folders. Each cluster containing two or more identical trees shall keep exactly one folder and relocate the remaining cluster members. Prefer an unsuffixed folder as the keeper when one exists; if more than one unsuffixed folder is identical, keep the alphabetically first name without regard to case. If a cluster contains only numbered copy folders, keep the lowest-numbered copy, with alphabetical order as the final tie-breaker. Folders in different content-equivalence clusters remain in place as separate masters/variants. Thus, if X differs from X (copy2) and X (copy3), but copy2 and copy3 match one another, X and copy2 remain while copy3 is relocated.</w:t>
      </w:r>
    </w:p>
    <w:p>
      <w:pPr>
        <w:pStyle w:val="Heading2"/>
      </w:pPr>
      <w:r>
        <w:t>18.4 FLAC Integrity Validation and Repair Before Move</w:t>
      </w:r>
    </w:p>
    <w:p>
      <w:pPr>
        <w:pStyle w:val="ListBullet"/>
      </w:pPr>
      <w:r>
        <w:t>Full FLAC decode validation must use a finite 180-second per-file timeout. Timeout means unverifiable; an unverifiable FLAC in the kept folder blocks relocation of that duplicate cluster and is reported to the user.</w:t>
      </w:r>
    </w:p>
    <w:p>
      <w:pPr/>
      <w:r>
        <w:t>After a content-equivalence cluster contains two or more identical trees under 18.3, and before any duplicate member of that cluster is moved into the duplicates holding folder, tlo-deleteDupes shall recursively validate every regular .flac file in the selected keeper directory tree. Validation shall decode the complete FLAC audio stream with the application-bundled ffmpeg supplied by imageio-ffmpeg and shall treat any decoder error or nonzero decoder exit status as corruption. A successful tag/header read alone is not sufficient.</w:t>
      </w:r>
    </w:p>
    <w:p>
      <w:pPr/>
      <w:r>
        <w:t>For each corrupt FLAC in the selected keeper directory, the utility shall look for the same relative FLAC path in the other members of that same content-equivalence cluster. Copy-suffixed repair sources shall retain ascending numeric copy order (copy1, copy2, copy3, and so on). Qualifying unsuffixed repair sources shall be considered alphabetically without regard to case. A candidate FLAC may be used as a replacement only if its complete FLAC stream validates successfully. Folders in a different content-equivalence cluster shall not be used as repair sources and shall remain outside that cluster's relocation set.</w:t>
      </w:r>
    </w:p>
    <w:p>
      <w:pPr/>
      <w:r>
        <w:t>When a healthy replacement is found, tlo-deleteDupes shall copy it to a temporary file in the keeper's directory, replace the corrupt keeper file atomically, and validate the installed replacement again. Every duplicate member of that content-equivalence cluster remains intact until repair attempts for its keeper have completed.</w:t>
      </w:r>
    </w:p>
    <w:p>
      <w:pPr/>
      <w:r>
        <w:t>If no healthy replacement can be found, or a replacement cannot be installed successfully, the utility shall report the unrepaired corrupt FLAC and continue. Failure to repair a corrupt FLAC shall not retain an otherwise qualifying duplicate directory: every non-keeper member of that content-equivalence cluster shall still be moved into the duplicates holding folder. The selected keeper directory itself shall never be moved.</w:t>
      </w:r>
    </w:p>
    <w:p>
      <w:pPr>
        <w:pStyle w:val="Heading2"/>
      </w:pPr>
      <w:r>
        <w:t>18.5 Partition-Root Duplicates Holding Folder and deletedDirs.txt</w:t>
      </w:r>
    </w:p>
    <w:p>
      <w:pPr/>
      <w:r>
        <w:t>For the filesystem/partition containing the Input Path, tlo-deleteDupes shall use a folder named duplicates at the root of the partition. If that folder does not exist, the utility shall create it before moving qualifying duplicates. On Windows this is the drive/share root (for example E:\\duplicates). On Linux and macOS this is the mounted-filesystem root containing the Input Path (for example /mnt/music/duplicates or /Volumes/Music/duplicates). When and only when a folder is a non-keeper member of a content-equivalence cluster, that duplicate directory shall be moved as one complete directory tree into the holding folder; the utility shall not enumerate or move child files individually. Keeper selection shall prefer an unsuffixed folder when possible, but an unsuffixed folder is not globally sacrosanct: a different content cluster may keep a numbered copy when that is the only representative of that variant. The utility shall not overwrite an existing holding-folder entry: when the same directory name already exists in duplicates, use a collision-safe suffix such as (moved 2), (moved 3), and so on. If the Input Path includes the partition root, the utility shall exclude the duplicates holding folder from duplicate discovery so previously moved material is not analyzed again. After each successful move, the utility shall append the full pre-move source path of that duplicate directory to TLOHome/deletedDirs.txt and flush the log. Non-matching, singleton-cluster, or unverifiable candidates shall be left in place and shall not be logged.</w:t>
      </w:r>
    </w:p>
    <w:p>
      <w:pPr>
        <w:pStyle w:val="Heading2"/>
      </w:pPr>
      <w:r>
        <w:t>18.6 Duplicate Comparison Mismatch Log</w:t>
      </w:r>
    </w:p>
    <w:p>
      <w:pPr/>
      <w:r>
        <w:t>When two folders in the same discovery component are compared and their recursive manifests differ, tlo-deleteDupes shall append one simple CSV record to TLOHome/deleteDupesMismatches.txt. Copies shall therefore be compared with one another as well as with unsuffixed candidates. Each record shall contain: folder name, folder name, simple reason. Only the directory names shall be recorded, not full paths. Folder names containing commas shall be CSV-quoted. Reasons shall remain concise and use forms such as different number of files, different sub-structure, different file names, or &lt;relative-file-name&gt; different sizes. The mismatch log is separate from deletedDirs.txt, which remains limited to folders actually moved into the duplicates holding folder.</w:t>
      </w:r>
    </w:p>
    <w:p>
      <w:pPr>
        <w:pStyle w:val="Heading2"/>
      </w:pPr>
      <w:r>
        <w:t>18.7 Ctrl-C Handling</w:t>
      </w:r>
    </w:p>
    <w:p>
      <w:pPr/>
      <w:r>
        <w:t>If Ctrl-C is invoked, the utility shall stop further scanning/move work, unwind through the open deletedDirs.txt and deleteDupesMismatches.txt contexts so both log files are closed, report cancellation, and return exit status 130. Any entries successfully logged before the interrupt remain in their respective log files; any duplicate directory already moved into the partition-root duplicates folder remains there.</w:t>
      </w:r>
    </w:p>
    <w:p>
      <w:pPr>
        <w:pStyle w:val="Heading2"/>
      </w:pPr>
      <w:r>
        <w:t>18.8 Distribution and Dependency Requirements</w:t>
      </w:r>
    </w:p>
    <w:p>
      <w:pPr/>
      <w:r>
        <w:t>The Windows onefile and shared-onedir distributions, generic Linux distribution, and macOS distribution shall include the tlo-deleteDupes executable. The tlo-deleteDupes executable shall package imageio-ffmpeg, including its native ffmpeg binary/data, so full FLAC decode validation is self-contained on every supported platform. send2trash is no longer required by tlo-deleteDupes because qualifying duplicate directories are moved into the partition-root duplicates holding folder.</w:t>
      </w:r>
    </w:p>
    <w:p>
      <w:pPr>
        <w:pStyle w:val="Heading1"/>
      </w:pPr>
      <w:r>
        <w:t>19. Research Utility Requirements</w:t>
      </w:r>
    </w:p>
    <w:p>
      <w:pPr>
        <w:pStyle w:val="Heading2"/>
      </w:pPr>
      <w:r>
        <w:t>19.1 Entry Point, TLOHome, and Query Input</w:t>
      </w:r>
    </w:p>
    <w:p>
      <w:pPr/>
      <w:r>
        <w:t>The release shall include tlo-research.py as a standalone console main. It shall accept one required research input string. The string may be supplied as one quoted command-line argument or as multiple positional words that are joined with spaces. It shall accept --TLOHome and the compatibility alias --myTLO. TLOHome precedence shall use the shared rule: --myTLO, then --TLOHome, then the TLOHome environment variable. TLOHome must resolve to the same existing writable directory required by the other TLO mains.</w:t>
      </w:r>
    </w:p>
    <w:p>
      <w:pPr/>
      <w:r>
        <w:t>The research input shall be classified as one of exactly three forms: a date by itself; an artist name followed by a date; or, when neither of those forms applies, a venue string. Research date classification shall reuse the canonical TLO Inventory date parser rather than a separate Research-only grammar. Therefore every date representation accepted by Inventory shall also be accepted as a Research date, including numeric dates, textual-month dates, compact dates, slash dates, supported year ranges, partial x-placeholder dates such as 2001-04-1x, 2004-0x-xx, 202x-xx-xx, and xxxx-xx-xx, plus a standalone four-digit 19xx/20xx year. The input date shall be normalized using the same Inventory date rules before matching metadata. If one raw date representation has more than one valid canonical normalization, Research shall retain all canonical interpretations and match a metadata DATE equal to any of them. An empty input shall be rejected.</w:t>
      </w:r>
    </w:p>
    <w:p>
      <w:pPr>
        <w:pStyle w:val="Heading2"/>
      </w:pPr>
      <w:r>
        <w:t>19.2 meta*.log Search</w:t>
      </w:r>
    </w:p>
    <w:p>
      <w:pPr/>
      <w:r>
        <w:t>tlo-research shall search every TLOHome/logs/meta*.log file in case-insensitive filename order and parse complete SHOW_NAME through END_SHOW_METADATA records. If an interrupted historical log begins a new SHOW_NAME record without the prior END_SHOW_METADATA marker, the new SHOW_NAME shall also act as a record boundary so later records remain searchable.</w:t>
      </w:r>
    </w:p>
    <w:p>
      <w:pPr/>
      <w:r>
        <w:t>For a date-only query, a metadata record matches when its DATE field equals any canonical normalization of the input, case-insensitively after whitespace normalization. For an artist+date query, the ARTIST field must equal the artist input and the DATE field must equal any canonical normalization of the trailing date expression. For a venue query, the normalized input shall be matched case-insensitively as a substring of the metadata VENUE field. Research shall not treat arbitrary occurrences in OBSERVATION, tag samples, show names, or unrelated fields as venue/date matches.</w:t>
      </w:r>
    </w:p>
    <w:p>
      <w:pPr>
        <w:pStyle w:val="Heading2"/>
      </w:pPr>
      <w:r>
        <w:t>19.3 comp*.log Correlation and Output</w:t>
      </w:r>
    </w:p>
    <w:p>
      <w:pPr/>
      <w:r>
        <w:t>For every matching metadata record, Research shall correlate related comp*.log path entries using the record's MAIN_DIR_PATH and MUSIC_DIRS_JSON directory values. A comp line is related when its normalized path is the directory itself or a descendant of one of those metadata paths. Blank lines, comments, and SEARCH_PATH header lines are not research results.</w:t>
      </w:r>
    </w:p>
    <w:p>
      <w:pPr/>
      <w:r>
        <w:t>The result shall begin with the original research string, interpreted query type, and total number of matching metadata records. Each structured match shall show the source meta log filename, the complete metadata record text, and a COMP LOG section containing every correlated comp entry with its comp log filename. If a matching metadata record has no correlated comp entry, the result shall say so explicitly. If no metadata records match, the result shall state that no matching metadata records were found. Research shall then perform a second exhaustive raw-line pass across every meta*.log and comp*.log file and shall not stop after the first matching record or first matching line. There shall be no per-file or per-query hit cap. A raw line is related when it contains the complete normalized research input, or when it contains the query evidence appropriate to the interpreted type: any canonical date candidate for a date query; the normalized artist plus any canonical date candidate on the same line for an artist+date query; or the normalized venue text for a venue query. The output shall include an ALL RELATED RAW LOG LINES section containing every such occurrence with the source log filename, one-based line number, and complete original log line. This raw-line section shall still be produced when there are zero structured metadata matches so historical/source evidence outside SHOW_NAME metadata blocks remains discoverable.</w:t>
      </w:r>
    </w:p>
    <w:p>
      <w:pPr/>
      <w:r>
        <w:t>The standalone tlo-research application shall write the complete formatted result to standard output and use standard error plus a nonzero status for startup/query errors. Ctrl-C shall stop the operation and return status 130.</w:t>
      </w:r>
    </w:p>
    <w:p>
      <w:pPr>
        <w:pStyle w:val="Heading2"/>
      </w:pPr>
      <w:r>
        <w:t>19.4 Inventory GUI Integration</w:t>
      </w:r>
    </w:p>
    <w:p>
      <w:pPr/>
      <w:r>
        <w:t>The Research button behavior defined in Section 14.4 shall call the same shared research implementation used by tlo-research.py. The GUI shall not maintain a separate search/parser implementation. This ensures that identical TLOHome content and input produce the same research result in the CLI and GUI.</w:t>
      </w:r>
    </w:p>
    <w:p>
      <w:pPr>
        <w:pStyle w:val="Heading2"/>
      </w:pPr>
      <w:r>
        <w:t>19.5 Distribution and Tests</w:t>
      </w:r>
    </w:p>
    <w:p>
      <w:pPr/>
      <w:r>
        <w:t>tlo-research shall be included as a console application in Windows onefile, Windows shared-onedir, generic Linux, and macOS distributions and in both complete and update release packages. The source publication shall include tlo-research.py and tlo_research_lib.py. The test suite shall cover query classification, field-aware metadata matching, comp correlation, exhaustive raw meta/comp line capture without early exit, raw-hit behavior when no structured metadata record matches, TLOHome precedence, CLI console output/error behavior, GUI Research button/input/results behavior, Research default-button keyboard activation, results Ctrl-A, results Search/Ctrl-F, forward/backward find direction and wraparound, and platform packaging contracts.</w:t>
      </w:r>
    </w:p>
    <w:p>
      <w:pPr>
        <w:pStyle w:val="Heading1"/>
        <w:rPr/>
      </w:pPr>
      <w:r>
        <w:t>Appendix A - Requirements Traceability Matrix</w:t>
      </w:r>
    </w:p>
    <w:p>
      <w:pPr>
        <w:pStyle w:val="Normal"/>
        <w:rPr/>
      </w:pPr>
      <w:r>
        <w:t>This matrix maps requirement areas to likely code areas. It is a traceability aid only; the numbered requirements in the main document remain authoritative.</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tcPr>
          <w:p>
            <w:pPr>
              <w:pStyle w:val="Normal"/>
              <w:spacing w:before="0" w:after="0"/>
              <w:rPr/>
            </w:pPr>
            <w:r>
              <w:rPr>
                <w:sz w:val="16"/>
              </w:rPr>
              <w:t>Requirement Area</w:t>
            </w:r>
          </w:p>
        </w:tc>
        <w:tc>
          <w:tcPr>
            <w:tcW w:w="2880" w:type="dxa"/>
            <w:tcBorders/>
          </w:tcPr>
          <w:p>
            <w:pPr>
              <w:pStyle w:val="Normal"/>
              <w:spacing w:before="0" w:after="0"/>
              <w:rPr/>
            </w:pPr>
            <w:r>
              <w:rPr>
                <w:sz w:val="16"/>
              </w:rPr>
              <w:t>Likely Code Area</w:t>
            </w:r>
          </w:p>
        </w:tc>
        <w:tc>
          <w:tcPr>
            <w:tcW w:w="2880" w:type="dxa"/>
            <w:tcBorders/>
          </w:tcPr>
          <w:p>
            <w:pPr>
              <w:pStyle w:val="Normal"/>
              <w:spacing w:before="0" w:after="0"/>
              <w:rPr/>
            </w:pPr>
            <w:r>
              <w:rPr>
                <w:sz w:val="16"/>
              </w:rPr>
              <w:t>Requirement Summary</w:t>
            </w:r>
          </w:p>
        </w:tc>
      </w:tr>
      <w:tr>
        <w:trPr/>
        <w:tc>
          <w:tcPr>
            <w:tcW w:w="2880" w:type="dxa"/>
            <w:tcBorders/>
          </w:tcPr>
          <w:p>
            <w:r>
              <w:t>Core output and processing requirements</w:t>
            </w:r>
          </w:p>
        </w:tc>
        <w:tc>
          <w:tcPr>
            <w:tcW w:w="2880" w:type="dxa"/>
            <w:tcBorders/>
          </w:tcPr>
          <w:p>
            <w:r>
              <w:t>tlo_postprocess.py / tlo_text_utils.py / shared normalization utilities</w:t>
            </w:r>
          </w:p>
        </w:tc>
        <w:tc>
          <w:tcPr>
            <w:tcW w:w="2880" w:type="dxa"/>
            <w:tcBorders/>
          </w:tcPr>
          <w:p>
            <w:r>
              <w:t>Output normalization, exported/generated setlists, elapsed time, postprocess reporting, and bounded parallel assembly.</w:t>
            </w:r>
          </w:p>
        </w:tc>
      </w:tr>
      <w:tr>
        <w:trPr/>
        <w:tc>
          <w:tcPr>
            <w:tcW w:w="2880" w:type="dxa"/>
            <w:tcBorders/>
          </w:tcPr>
          <w:p>
            <w:pPr>
              <w:pStyle w:val="Normal"/>
              <w:spacing w:before="0" w:after="0"/>
              <w:rPr/>
            </w:pPr>
            <w:r>
              <w:rPr>
                <w:sz w:val="16"/>
              </w:rPr>
              <w:t>Search path source selection</w:t>
            </w:r>
          </w:p>
        </w:tc>
        <w:tc>
          <w:tcPr>
            <w:tcW w:w="2880" w:type="dxa"/>
            <w:tcBorders/>
          </w:tcPr>
          <w:p>
            <w:pPr>
              <w:pStyle w:val="Normal"/>
              <w:spacing w:before="0" w:after="0"/>
              <w:rPr/>
            </w:pPr>
            <w:r>
              <w:rPr>
                <w:sz w:val="16"/>
              </w:rPr>
              <w:t>inventory_parser_lib.py / root loading logic</w:t>
            </w:r>
          </w:p>
        </w:tc>
        <w:tc>
          <w:tcPr>
            <w:tcW w:w="2880" w:type="dxa"/>
            <w:tcBorders/>
          </w:tcPr>
          <w:p>
            <w:pPr>
              <w:pStyle w:val="Normal"/>
              <w:spacing w:before="0" w:after="0"/>
              <w:rPr/>
            </w:pPr>
            <w:r>
              <w:rPr>
                <w:sz w:val="16"/>
              </w:rPr>
              <w:t>--search-path bypasses toBeInventoried.txt when supplied.</w:t>
            </w:r>
          </w:p>
        </w:tc>
      </w:tr>
      <w:tr>
        <w:trPr/>
        <w:tc>
          <w:tcPr>
            <w:tcW w:w="2880" w:type="dxa"/>
            <w:tcBorders/>
          </w:tcPr>
          <w:p>
            <w:pPr>
              <w:pStyle w:val="Normal"/>
              <w:spacing w:before="0" w:after="0"/>
              <w:rPr/>
            </w:pPr>
            <w:r>
              <w:rPr>
                <w:sz w:val="16"/>
              </w:rPr>
              <w:t>Slam association</w:t>
            </w:r>
          </w:p>
        </w:tc>
        <w:tc>
          <w:tcPr>
            <w:tcW w:w="2880" w:type="dxa"/>
            <w:tcBorders/>
          </w:tcPr>
          <w:p>
            <w:pPr>
              <w:pStyle w:val="Normal"/>
              <w:spacing w:before="0" w:after="0"/>
              <w:rPr/>
            </w:pPr>
            <w:r>
              <w:rPr>
                <w:sz w:val="16"/>
              </w:rPr>
              <w:t>inventory_parser_lib.py / worker config / phase 2/3</w:t>
            </w:r>
          </w:p>
        </w:tc>
        <w:tc>
          <w:tcPr>
            <w:tcW w:w="2880" w:type="dxa"/>
            <w:tcBorders/>
          </w:tcPr>
          <w:p>
            <w:pPr>
              <w:pStyle w:val="Normal"/>
              <w:spacing w:before="0" w:after="0"/>
              <w:rPr/>
            </w:pPr>
            <w:r>
              <w:rPr>
                <w:sz w:val="16"/>
              </w:rPr>
              <w:t>-$slam is valid only with --search-path; non-empty slam overrides artist identification.</w:t>
            </w:r>
          </w:p>
        </w:tc>
      </w:tr>
      <w:tr>
        <w:trPr/>
        <w:tc>
          <w:tcPr>
            <w:tcW w:w="2880" w:type="dxa"/>
            <w:tcBorders/>
          </w:tcPr>
          <w:p>
            <w:pPr>
              <w:pStyle w:val="Normal"/>
              <w:spacing w:before="0" w:after="0"/>
              <w:rPr/>
            </w:pPr>
            <w:r>
              <w:rPr>
                <w:sz w:val="16"/>
              </w:rPr>
              <w:t>TLOHome precedence and myTLO</w:t>
            </w:r>
          </w:p>
        </w:tc>
        <w:tc>
          <w:tcPr>
            <w:tcW w:w="2880" w:type="dxa"/>
            <w:tcBorders/>
          </w:tcPr>
          <w:p>
            <w:pPr>
              <w:pStyle w:val="Normal"/>
              <w:spacing w:before="0" w:after="0"/>
              <w:rPr/>
            </w:pPr>
            <w:r>
              <w:rPr>
                <w:sz w:val="16"/>
              </w:rPr>
              <w:t>inventory_parser_lib.py / tlo-gi.py / tlo-ggi.py</w:t>
            </w:r>
          </w:p>
        </w:tc>
        <w:tc>
          <w:tcPr>
            <w:tcW w:w="2880" w:type="dxa"/>
            <w:tcBorders/>
          </w:tcPr>
          <w:p>
            <w:pPr>
              <w:pStyle w:val="Normal"/>
              <w:spacing w:before="0" w:after="0"/>
              <w:rPr/>
            </w:pPr>
            <w:r>
              <w:rPr>
                <w:sz w:val="16"/>
              </w:rPr>
              <w:t>--myTLO, then --TLOHome, then TLOHome environment variable.</w:t>
            </w:r>
          </w:p>
        </w:tc>
      </w:tr>
      <w:tr>
        <w:trPr/>
        <w:tc>
          <w:tcPr>
            <w:tcW w:w="2880" w:type="dxa"/>
            <w:tcBorders/>
          </w:tcPr>
          <w:p>
            <w:pPr>
              <w:pStyle w:val="Normal"/>
              <w:spacing w:before="0" w:after="0"/>
              <w:rPr/>
            </w:pPr>
            <w:r>
              <w:rPr>
                <w:sz w:val="16"/>
              </w:rPr>
              <w:t>Path accessibility reporting</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Report original path, normalized path, and reason for inaccessible roots.</w:t>
            </w:r>
          </w:p>
        </w:tc>
      </w:tr>
      <w:tr>
        <w:trPr/>
        <w:tc>
          <w:tcPr>
            <w:tcW w:w="2880" w:type="dxa"/>
            <w:tcBorders/>
          </w:tcPr>
          <w:p>
            <w:pPr>
              <w:pStyle w:val="Normal"/>
              <w:spacing w:before="0" w:after="0"/>
              <w:rPr/>
            </w:pPr>
            <w:r>
              <w:rPr>
                <w:sz w:val="16"/>
              </w:rPr>
              <w:t>Duplicate and overlapping path rejection</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Reject duplicates and obvious nested roots before scanning.</w:t>
            </w:r>
          </w:p>
        </w:tc>
      </w:tr>
      <w:tr>
        <w:trPr/>
        <w:tc>
          <w:tcPr>
            <w:tcW w:w="2880" w:type="dxa"/>
            <w:tcBorders/>
          </w:tcPr>
          <w:p>
            <w:pPr>
              <w:pStyle w:val="Normal"/>
              <w:spacing w:before="0" w:after="0"/>
              <w:rPr/>
            </w:pPr>
            <w:r>
              <w:rPr>
                <w:sz w:val="16"/>
              </w:rPr>
              <w:t>Phase 1 pruning</w:t>
            </w:r>
          </w:p>
        </w:tc>
        <w:tc>
          <w:tcPr>
            <w:tcW w:w="2880" w:type="dxa"/>
            <w:tcBorders/>
          </w:tcPr>
          <w:p>
            <w:pPr>
              <w:pStyle w:val="Normal"/>
              <w:spacing w:before="0" w:after="0"/>
              <w:rPr/>
            </w:pPr>
            <w:r>
              <w:rPr>
                <w:sz w:val="16"/>
              </w:rPr>
              <w:t>walk_trees_lib.py / initial_dir_walk_lib.py</w:t>
            </w:r>
          </w:p>
        </w:tc>
        <w:tc>
          <w:tcPr>
            <w:tcW w:w="2880" w:type="dxa"/>
            <w:tcBorders/>
          </w:tcPr>
          <w:p>
            <w:pPr>
              <w:pStyle w:val="Normal"/>
              <w:spacing w:before="0" w:after="0"/>
              <w:rPr/>
            </w:pPr>
            <w:r>
              <w:rPr>
                <w:sz w:val="16"/>
              </w:rPr>
              <w:t>Apply -ignoreDir and system-folder pruning and stop descent after real media files.</w:t>
            </w:r>
          </w:p>
        </w:tc>
      </w:tr>
      <w:tr>
        <w:trPr/>
        <w:tc>
          <w:tcPr>
            <w:tcW w:w="2880" w:type="dxa"/>
            <w:tcBorders/>
          </w:tcPr>
          <w:p>
            <w:pPr>
              <w:pStyle w:val="Normal"/>
              <w:spacing w:before="0" w:after="0"/>
              <w:rPr/>
            </w:pPr>
            <w:r>
              <w:rPr>
                <w:sz w:val="16"/>
              </w:rPr>
              <w:t>Music file detection and stop descent</w:t>
            </w:r>
          </w:p>
        </w:tc>
        <w:tc>
          <w:tcPr>
            <w:tcW w:w="2880" w:type="dxa"/>
            <w:tcBorders/>
          </w:tcPr>
          <w:p>
            <w:pPr>
              <w:pStyle w:val="Normal"/>
              <w:spacing w:before="0" w:after="0"/>
              <w:rPr/>
            </w:pPr>
            <w:r>
              <w:rPr>
                <w:sz w:val="16"/>
              </w:rPr>
              <w:t>walk_trees_lib.py / inventory_list_lib.py</w:t>
            </w:r>
          </w:p>
        </w:tc>
        <w:tc>
          <w:tcPr>
            <w:tcW w:w="2880" w:type="dxa"/>
            <w:tcBorders/>
          </w:tcPr>
          <w:p>
            <w:pPr>
              <w:pStyle w:val="Normal"/>
              <w:spacing w:before="0" w:after="0"/>
              <w:rPr/>
            </w:pPr>
            <w:r>
              <w:rPr>
                <w:sz w:val="16"/>
              </w:rPr>
              <w:t>Use extension list and file-type checks; do not treat extension-like directory names as files.</w:t>
            </w:r>
          </w:p>
        </w:tc>
      </w:tr>
      <w:tr>
        <w:trPr/>
        <w:tc>
          <w:tcPr>
            <w:tcW w:w="2880" w:type="dxa"/>
            <w:tcBorders/>
          </w:tcPr>
          <w:p>
            <w:pPr>
              <w:pStyle w:val="Normal"/>
              <w:spacing w:before="0" w:after="0"/>
              <w:rPr/>
            </w:pPr>
            <w:r>
              <w:rPr>
                <w:sz w:val="16"/>
              </w:rPr>
              <w:t>Artist DB lookup and collisions</w:t>
            </w:r>
          </w:p>
        </w:tc>
        <w:tc>
          <w:tcPr>
            <w:tcW w:w="2880" w:type="dxa"/>
            <w:tcBorders/>
          </w:tcPr>
          <w:p>
            <w:pPr>
              <w:pStyle w:val="Normal"/>
              <w:spacing w:before="0" w:after="0"/>
              <w:rPr/>
            </w:pPr>
            <w:r>
              <w:rPr>
                <w:sz w:val="16"/>
              </w:rPr>
              <w:t>artist matcher / phase 2/3</w:t>
            </w:r>
          </w:p>
        </w:tc>
        <w:tc>
          <w:tcPr>
            <w:tcW w:w="2880" w:type="dxa"/>
            <w:tcBorders/>
          </w:tcPr>
          <w:p>
            <w:pPr>
              <w:pStyle w:val="Normal"/>
              <w:spacing w:before="0" w:after="0"/>
              <w:rPr/>
            </w:pPr>
            <w:r>
              <w:rPr>
                <w:sz w:val="16"/>
              </w:rPr>
              <w:t>Use TLOHome/TLO_DBs/artists.sqlite; record collisions.</w:t>
            </w:r>
          </w:p>
        </w:tc>
      </w:tr>
      <w:tr>
        <w:trPr/>
        <w:tc>
          <w:tcPr>
            <w:tcW w:w="2880" w:type="dxa"/>
            <w:tcBorders/>
          </w:tcPr>
          <w:p>
            <w:pPr>
              <w:pStyle w:val="Normal"/>
              <w:spacing w:before="0" w:after="0"/>
              <w:rPr/>
            </w:pPr>
            <w:r>
              <w:rPr>
                <w:sz w:val="16"/>
              </w:rPr>
              <w:t>Date parsing</w:t>
            </w:r>
          </w:p>
        </w:tc>
        <w:tc>
          <w:tcPr>
            <w:tcW w:w="2880" w:type="dxa"/>
            <w:tcBorders/>
          </w:tcPr>
          <w:p>
            <w:pPr>
              <w:pStyle w:val="Normal"/>
              <w:spacing w:before="0" w:after="0"/>
              <w:rPr/>
            </w:pPr>
            <w:r>
              <w:rPr>
                <w:sz w:val="16"/>
              </w:rPr>
              <w:t>date parser / phase 2/3</w:t>
            </w:r>
          </w:p>
        </w:tc>
        <w:tc>
          <w:tcPr>
            <w:tcW w:w="2880" w:type="dxa"/>
            <w:tcBorders/>
          </w:tcPr>
          <w:p>
            <w:pPr>
              <w:pStyle w:val="Normal"/>
              <w:spacing w:before="0" w:after="0"/>
              <w:rPr/>
            </w:pPr>
            <w:r>
              <w:rPr>
                <w:sz w:val="16"/>
              </w:rPr>
              <w:t>Normalize accepted date formats, placeholders, and supported ranges.</w:t>
            </w:r>
          </w:p>
        </w:tc>
      </w:tr>
      <w:tr>
        <w:trPr/>
        <w:tc>
          <w:tcPr>
            <w:tcW w:w="2880" w:type="dxa"/>
            <w:tcBorders/>
          </w:tcPr>
          <w:p>
            <w:pPr>
              <w:pStyle w:val="Normal"/>
              <w:spacing w:before="0" w:after="0"/>
              <w:rPr/>
            </w:pPr>
            <w:r>
              <w:rPr>
                <w:sz w:val="16"/>
              </w:rPr>
              <w:t>Music tag metadata check</w:t>
            </w:r>
          </w:p>
        </w:tc>
        <w:tc>
          <w:tcPr>
            <w:tcW w:w="2880" w:type="dxa"/>
            <w:tcBorders/>
          </w:tcPr>
          <w:p>
            <w:pPr>
              <w:pStyle w:val="Normal"/>
              <w:spacing w:before="0" w:after="0"/>
              <w:rPr/>
            </w:pPr>
            <w:r>
              <w:rPr>
                <w:sz w:val="16"/>
              </w:rPr>
              <w:t>tag reader / phase 2/3</w:t>
            </w:r>
          </w:p>
        </w:tc>
        <w:tc>
          <w:tcPr>
            <w:tcW w:w="2880" w:type="dxa"/>
            <w:tcBorders/>
          </w:tcPr>
          <w:p>
            <w:pPr>
              <w:pStyle w:val="Normal"/>
              <w:spacing w:before="0" w:after="0"/>
              <w:rPr/>
            </w:pPr>
            <w:r>
              <w:rPr>
                <w:sz w:val="16"/>
              </w:rPr>
              <w:t>Tag artist wins; FLAC DATE tags are compared against path dates.</w:t>
            </w:r>
          </w:p>
        </w:tc>
      </w:tr>
      <w:tr>
        <w:trPr/>
        <w:tc>
          <w:tcPr>
            <w:tcW w:w="2880" w:type="dxa"/>
            <w:tcBorders/>
          </w:tcPr>
          <w:p>
            <w:pPr>
              <w:pStyle w:val="Normal"/>
              <w:spacing w:before="0" w:after="0"/>
              <w:rPr/>
            </w:pPr>
            <w:r>
              <w:rPr>
                <w:sz w:val="16"/>
              </w:rPr>
              <w:t>Non-compliant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String1 Date String2, String1 Date, date-only, Date String3, and String1 - String2 rules.</w:t>
            </w:r>
          </w:p>
        </w:tc>
      </w:tr>
      <w:tr>
        <w:trPr/>
        <w:tc>
          <w:tcPr>
            <w:tcW w:w="2880" w:type="dxa"/>
            <w:tcBorders/>
          </w:tcPr>
          <w:p>
            <w:pPr>
              <w:pStyle w:val="Normal"/>
              <w:spacing w:before="0" w:after="0"/>
              <w:rPr/>
            </w:pPr>
            <w:r>
              <w:rPr>
                <w:sz w:val="16"/>
              </w:rPr>
              <w:t>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compliant String1 Date String2, String1 - String2, String1 Date, and final folder fallback rules.</w:t>
            </w:r>
          </w:p>
        </w:tc>
      </w:tr>
      <w:tr>
        <w:trPr/>
        <w:tc>
          <w:tcPr>
            <w:tcW w:w="2880" w:type="dxa"/>
            <w:tcBorders/>
          </w:tcPr>
          <w:p>
            <w:pPr>
              <w:pStyle w:val="Normal"/>
              <w:spacing w:before="0" w:after="0"/>
              <w:rPr/>
            </w:pPr>
            <w:r>
              <w:rPr>
                <w:sz w:val="16"/>
              </w:rPr>
              <w:t>Unresolved shows handling</w:t>
            </w:r>
          </w:p>
        </w:tc>
        <w:tc>
          <w:tcPr>
            <w:tcW w:w="2880" w:type="dxa"/>
            <w:tcBorders/>
          </w:tcPr>
          <w:p>
            <w:pPr>
              <w:pStyle w:val="Normal"/>
              <w:spacing w:before="0" w:after="0"/>
              <w:rPr/>
            </w:pPr>
            <w:r>
              <w:rPr>
                <w:sz w:val="16"/>
              </w:rPr>
              <w:t>tlo_postprocess.py / aggregator</w:t>
            </w:r>
          </w:p>
        </w:tc>
        <w:tc>
          <w:tcPr>
            <w:tcW w:w="2880" w:type="dxa"/>
            <w:tcBorders/>
          </w:tcPr>
          <w:p>
            <w:pPr>
              <w:pStyle w:val="Normal"/>
              <w:spacing w:before="0" w:after="0"/>
              <w:rPr/>
            </w:pPr>
            <w:r>
              <w:rPr>
                <w:sz w:val="16"/>
              </w:rPr>
              <w:t>Write unresolved paths and apply the Section 10.1 date-conflict outcomes.</w:t>
            </w:r>
          </w:p>
        </w:tc>
      </w:tr>
      <w:tr>
        <w:trPr/>
        <w:tc>
          <w:tcPr>
            <w:tcW w:w="2880" w:type="dxa"/>
            <w:tcBorders/>
          </w:tcPr>
          <w:p>
            <w:pPr>
              <w:pStyle w:val="Normal"/>
              <w:spacing w:before="0" w:after="0"/>
              <w:rPr/>
            </w:pPr>
            <w:r>
              <w:rPr>
                <w:sz w:val="16"/>
              </w:rPr>
              <w:t>Aggregator reads metadata logs</w:t>
            </w:r>
          </w:p>
        </w:tc>
        <w:tc>
          <w:tcPr>
            <w:tcW w:w="2880" w:type="dxa"/>
            <w:tcBorders/>
          </w:tcPr>
          <w:p>
            <w:pPr>
              <w:pStyle w:val="Normal"/>
              <w:spacing w:before="0" w:after="0"/>
              <w:rPr/>
            </w:pPr>
            <w:r>
              <w:rPr>
                <w:sz w:val="16"/>
              </w:rPr>
              <w:t>tlo_postprocess.py</w:t>
            </w:r>
          </w:p>
        </w:tc>
        <w:tc>
          <w:tcPr>
            <w:tcW w:w="2880" w:type="dxa"/>
            <w:tcBorders/>
          </w:tcPr>
          <w:p>
            <w:pPr>
              <w:pStyle w:val="Normal"/>
              <w:spacing w:before="0" w:after="0"/>
              <w:rPr/>
            </w:pPr>
            <w:r>
              <w:rPr>
                <w:sz w:val="16"/>
              </w:rPr>
              <w:t>Read all meta*.log files from TLOHome/logs.</w:t>
            </w:r>
          </w:p>
        </w:tc>
      </w:tr>
      <w:tr>
        <w:trPr/>
        <w:tc>
          <w:tcPr>
            <w:tcW w:w="2880" w:type="dxa"/>
            <w:tcBorders/>
          </w:tcPr>
          <w:p>
            <w:pPr>
              <w:pStyle w:val="Normal"/>
              <w:spacing w:before="0" w:after="0"/>
              <w:rPr/>
            </w:pPr>
            <w:r>
              <w:rPr>
                <w:sz w:val="16"/>
              </w:rPr>
              <w:t>Short token log names and cleanup</w:t>
            </w:r>
          </w:p>
        </w:tc>
        <w:tc>
          <w:tcPr>
            <w:tcW w:w="2880" w:type="dxa"/>
            <w:tcBorders/>
          </w:tcPr>
          <w:p>
            <w:pPr>
              <w:pStyle w:val="Normal"/>
              <w:spacing w:before="0" w:after="0"/>
              <w:rPr/>
            </w:pPr>
            <w:r>
              <w:rPr>
                <w:sz w:val="16"/>
              </w:rPr>
              <w:t>dispatcher / worker logging</w:t>
            </w:r>
          </w:p>
        </w:tc>
        <w:tc>
          <w:tcPr>
            <w:tcW w:w="2880" w:type="dxa"/>
            <w:tcBorders/>
          </w:tcPr>
          <w:p>
            <w:pPr>
              <w:pStyle w:val="Normal"/>
              <w:spacing w:before="0" w:after="0"/>
              <w:rPr/>
            </w:pPr>
            <w:r>
              <w:rPr>
                <w:sz w:val="16"/>
              </w:rPr>
              <w:t>Use confX/deadX/compX/dupsX/groupsX/metaX logs and delete only active-run logs during cancellation.</w:t>
            </w:r>
          </w:p>
        </w:tc>
      </w:tr>
      <w:tr>
        <w:trPr/>
        <w:tc>
          <w:tcPr>
            <w:tcW w:w="2880" w:type="dxa"/>
            <w:tcBorders/>
          </w:tcPr>
          <w:p>
            <w:pPr>
              <w:pStyle w:val="Normal"/>
              <w:spacing w:before="0" w:after="0"/>
              <w:rPr/>
            </w:pPr>
            <w:r>
              <w:rPr>
                <w:sz w:val="16"/>
              </w:rPr>
              <w:t>CLI arguments</w:t>
            </w:r>
          </w:p>
        </w:tc>
        <w:tc>
          <w:tcPr>
            <w:tcW w:w="2880" w:type="dxa"/>
            <w:tcBorders/>
          </w:tcPr>
          <w:p>
            <w:pPr>
              <w:pStyle w:val="Normal"/>
              <w:spacing w:before="0" w:after="0"/>
              <w:rPr/>
            </w:pPr>
            <w:r>
              <w:rPr>
                <w:sz w:val="16"/>
              </w:rPr>
              <w:t>tlo-gi.py / inventory_parser_lib.py</w:t>
            </w:r>
          </w:p>
        </w:tc>
        <w:tc>
          <w:tcPr>
            <w:tcW w:w="2880" w:type="dxa"/>
            <w:tcBorders/>
          </w:tcPr>
          <w:p>
            <w:pPr>
              <w:pStyle w:val="Normal"/>
              <w:spacing w:before="0" w:after="0"/>
              <w:rPr/>
            </w:pPr>
            <w:r>
              <w:rPr>
                <w:sz w:val="16"/>
              </w:rPr>
              <w:t>Support current CLI only; removed flags must not affect output.</w:t>
            </w:r>
          </w:p>
        </w:tc>
      </w:tr>
      <w:tr>
        <w:trPr/>
        <w:tc>
          <w:tcPr>
            <w:tcW w:w="2880" w:type="dxa"/>
            <w:tcBorders/>
          </w:tcPr>
          <w:p>
            <w:pPr>
              <w:pStyle w:val="Normal"/>
              <w:spacing w:before="0" w:after="0"/>
              <w:rPr/>
            </w:pPr>
            <w:r>
              <w:rPr>
                <w:sz w:val="16"/>
              </w:rPr>
              <w:t>GUI inputs and help</w:t>
            </w:r>
          </w:p>
        </w:tc>
        <w:tc>
          <w:tcPr>
            <w:tcW w:w="2880" w:type="dxa"/>
            <w:tcBorders/>
          </w:tcPr>
          <w:p>
            <w:pPr>
              <w:pStyle w:val="Normal"/>
              <w:spacing w:before="0" w:after="0"/>
              <w:rPr/>
            </w:pPr>
            <w:r>
              <w:rPr>
                <w:sz w:val="16"/>
              </w:rPr>
              <w:t>tlo-ggi.py</w:t>
            </w:r>
          </w:p>
        </w:tc>
        <w:tc>
          <w:tcPr>
            <w:tcW w:w="2880" w:type="dxa"/>
            <w:tcBorders/>
          </w:tcPr>
          <w:p>
            <w:pPr>
              <w:pStyle w:val="Normal"/>
              <w:spacing w:before="0" w:after="0"/>
              <w:rPr/>
            </w:pPr>
            <w:r>
              <w:rPr>
                <w:sz w:val="16"/>
              </w:rPr>
              <w:t>Reflect tlo-gi inputs, embedded console, help, and hard-coded GUI display text.</w:t>
            </w:r>
          </w:p>
        </w:tc>
      </w:tr>
      <w:tr>
        <w:trPr/>
        <w:tc>
          <w:tcPr>
            <w:tcW w:w="2880" w:type="dxa"/>
            <w:tcBorders/>
          </w:tcPr>
          <w:p>
            <w:pPr>
              <w:pStyle w:val="Normal"/>
              <w:spacing w:before="0" w:after="0"/>
              <w:rPr/>
            </w:pPr>
            <w:r>
              <w:rPr>
                <w:sz w:val="16"/>
              </w:rPr>
              <w:t>Ctrl-C and Quit cleanup</w:t>
            </w:r>
          </w:p>
        </w:tc>
        <w:tc>
          <w:tcPr>
            <w:tcW w:w="2880" w:type="dxa"/>
            <w:tcBorders/>
          </w:tcPr>
          <w:p>
            <w:pPr>
              <w:pStyle w:val="Normal"/>
              <w:spacing w:before="0" w:after="0"/>
              <w:rPr/>
            </w:pPr>
            <w:r>
              <w:rPr>
                <w:sz w:val="16"/>
              </w:rPr>
              <w:t>tlo_main_lib.py / tlo-ggi.py / dispatcher</w:t>
            </w:r>
          </w:p>
        </w:tc>
        <w:tc>
          <w:tcPr>
            <w:tcW w:w="2880" w:type="dxa"/>
            <w:tcBorders/>
          </w:tcPr>
          <w:p>
            <w:pPr>
              <w:pStyle w:val="Normal"/>
              <w:spacing w:before="0" w:after="0"/>
              <w:rPr/>
            </w:pPr>
            <w:r>
              <w:rPr>
                <w:sz w:val="16"/>
              </w:rPr>
              <w:t>Apply three-state Quit behavior and Ctrl-C cleanup rules.</w:t>
            </w:r>
          </w:p>
        </w:tc>
      </w:tr>
      <w:tr>
        <w:trPr/>
        <w:tc>
          <w:tcPr>
            <w:tcW w:w="2880" w:type="dxa"/>
            <w:tcBorders/>
          </w:tcPr>
          <w:p>
            <w:pPr>
              <w:pStyle w:val="Normal"/>
              <w:spacing w:before="0" w:after="0"/>
              <w:rPr/>
            </w:pPr>
            <w:r>
              <w:rPr>
                <w:sz w:val="16"/>
              </w:rPr>
              <w:t>Startup errors visible to user</w:t>
            </w:r>
          </w:p>
        </w:tc>
        <w:tc>
          <w:tcPr>
            <w:tcW w:w="2880" w:type="dxa"/>
            <w:tcBorders/>
          </w:tcPr>
          <w:p>
            <w:pPr>
              <w:pStyle w:val="Normal"/>
              <w:spacing w:before="0" w:after="0"/>
              <w:rPr/>
            </w:pPr>
            <w:r>
              <w:rPr>
                <w:sz w:val="16"/>
              </w:rPr>
              <w:t>tlo-gi.py / tlo-ggi.py</w:t>
            </w:r>
          </w:p>
        </w:tc>
        <w:tc>
          <w:tcPr>
            <w:tcW w:w="2880" w:type="dxa"/>
            <w:tcBorders/>
          </w:tcPr>
          <w:p>
            <w:pPr>
              <w:pStyle w:val="Normal"/>
              <w:spacing w:before="0" w:after="0"/>
              <w:rPr/>
            </w:pPr>
            <w:r>
              <w:rPr>
                <w:sz w:val="16"/>
              </w:rPr>
              <w:t>Show readable errors and avoid disappearing console-only errors in GUI mode.</w:t>
            </w:r>
          </w:p>
        </w:tc>
      </w:tr>
      <w:tr>
        <w:tc>
          <w:tcPr>
            <w:tcW w:type="dxa" w:w="2880"/>
          </w:tcPr>
          <w:p>
            <w:r>
              <w:t>Non-functional and input-safety limits</w:t>
            </w:r>
          </w:p>
        </w:tc>
        <w:tc>
          <w:tcPr>
            <w:tcW w:type="dxa" w:w="2880"/>
          </w:tcPr>
          <w:p>
            <w:r>
              <w:t>tlo_text_utils.py / tlo_setlistfm_lookup.py / tlo_tag_lib.py</w:t>
            </w:r>
          </w:p>
        </w:tc>
        <w:tc>
          <w:tcPr>
            <w:tcW w:type="dxa" w:w="2880"/>
          </w:tcPr>
          <w:p>
            <w:r>
              <w:t>Bound input reads, finite waits, document collection/path limits, and diagnostic-log growth policy.</w:t>
            </w:r>
          </w:p>
        </w:tc>
      </w:tr>
    </w:tbl>
    <w:p>
      <w:pPr>
        <w:pStyle w:val="Heading1"/>
        <w:rPr/>
      </w:pPr>
      <w:r>
        <w:t>Appendix B - Open Issues and Future Clarifications</w:t>
      </w:r>
    </w:p>
    <w:p>
      <w:pPr>
        <w:pStyle w:val="Normal"/>
        <w:rPr/>
      </w:pPr>
      <w:r>
        <w:t>The ambiguity decisions in Appendix D are incorporated into the main requirements. The remaining future clarification items are listed here.</w:t>
      </w:r>
    </w:p>
    <w:p>
      <w:pPr>
        <w:pStyle w:val="ListBullet"/>
        <w:numPr>
          <w:ilvl w:val="0"/>
          <w:numId w:val="1"/>
        </w:numPr>
        <w:rPr/>
      </w:pPr>
      <w:r>
        <w:t>Further broad compliant-mode String2 venue/location inference remains a future clarification item. Build 380 adds only the narrow String1 - String2 Date boundary refinement: after String1 Date String2 fails, one complete date at the beginning or end of String2 may be separated into Date while the remaining String2 stays raw show-name / venue-album text unless eTreeDB lookup succeeds. Bare years, ranges, partial dates, and middle-of-String2 dates are not part of this refinement. This deferred item is tracked here rather than in Appendix D, which is limited to resolved ambiguity decisions.</w:t>
      </w:r>
    </w:p>
    <w:p>
      <w:pPr>
        <w:pStyle w:val="ListBullet"/>
        <w:numPr>
          <w:ilvl w:val="0"/>
          <w:numId w:val="1"/>
        </w:numPr>
        <w:rPr/>
      </w:pPr>
      <w:r>
        <w:t>Path-alias limitations are specified in Section 2.6 and should be referenced from the user guide rather than restated here.</w:t>
      </w:r>
    </w:p>
    <w:p>
      <w:pPr>
        <w:pStyle w:val="ListBullet"/>
        <w:numPr>
          <w:ilvl w:val="0"/>
          <w:numId w:val="1"/>
        </w:numPr>
        <w:rPr/>
      </w:pPr>
      <w:r>
        <w:t>The TLO Search and Research apps are included in the source bundle and in every complete platform distribution. Detailed collection-search behavior is maintained in tlo-gsi.py; Research log lookup behavior is specified in Section 19 and implemented in tlo-research.py/tlo_research_lib.py.</w:t>
      </w:r>
    </w:p>
    <w:p>
      <w:pPr>
        <w:pStyle w:val="Heading1"/>
        <w:rPr/>
      </w:pPr>
      <w:r>
        <w:t>Appendix D - Ambiguity Review and Clarifications</w:t>
      </w:r>
    </w:p>
    <w:p>
      <w:pPr>
        <w:pStyle w:val="Heading2"/>
        <w:rPr/>
      </w:pPr>
      <w:r>
        <w:t>D1. Music file definition</w:t>
      </w:r>
    </w:p>
    <w:p>
      <w:pPr>
        <w:pStyle w:val="Normal"/>
        <w:rPr/>
      </w:pPr>
      <w:r>
        <w:t>Definition of "music file" is left as-is and is not considered a conflict. The current searched extensions are listed in Appendix E1 for user review.</w:t>
      </w:r>
    </w:p>
    <w:p>
      <w:pPr>
        <w:pStyle w:val="Heading2"/>
        <w:rPr/>
      </w:pPr>
      <w:r>
        <w:t>D2. Search path overlap normalization</w:t>
      </w:r>
    </w:p>
    <w:p>
      <w:pPr>
        <w:pStyle w:val="Normal"/>
        <w:rPr/>
      </w:pPr>
      <w:r>
        <w:t>Resolved. Duplicate and nested-root handling, including the user-guide warning for symlinks, junctions, mount aliases, and case-equivalent paths, is canonical in Section 2.6.</w:t>
      </w:r>
    </w:p>
    <w:p>
      <w:pPr>
        <w:pStyle w:val="Heading2"/>
        <w:rPr/>
      </w:pPr>
      <w:r>
        <w:t>D3. Tag artist vs path artist disagreement</w:t>
      </w:r>
    </w:p>
    <w:p>
      <w:pPr>
        <w:pStyle w:val="Normal"/>
        <w:rPr/>
      </w:pPr>
      <w:r>
        <w:t>Resolved for non-compliant mode. A tag artist that resolves unambiguously in the Artist DB remains authoritative and is stored using the DB master name unless As-Is Artist Name is selected. A candidate tag artist that does not resolve in the Artist DB is deferred rather than allowed to block path identification. DB-backed path evidence and explicit selected-setlist artist metadata are checked first; the deferred raw tag is used only if no stronger artist is found. This prevents track-title/date-like tag values such as "01 - Introduction - WMMS" or "1976-05" from overriding an obvious DB-backed path artist such as Firefall. Compliant-mode FLAC tag exclusion is defined in Section 8.</w:t>
      </w:r>
    </w:p>
    <w:p>
      <w:pPr>
        <w:pStyle w:val="Heading2"/>
        <w:rPr/>
      </w:pPr>
      <w:r>
        <w:t>D4. Date conflict vs unresolved handling</w:t>
      </w:r>
    </w:p>
    <w:p>
      <w:pPr>
        <w:pStyle w:val="Normal"/>
        <w:rPr/>
      </w:pPr>
      <w:r>
        <w:t>Resolved. Adopt the date conflict and missing-date outcome table in Section 10.1.</w:t>
      </w:r>
    </w:p>
    <w:p>
      <w:pPr>
        <w:pStyle w:val="Heading2"/>
        <w:rPr/>
      </w:pPr>
      <w:r>
        <w:t>D5. Multiple parentheticals</w:t>
      </w:r>
    </w:p>
    <w:p>
      <w:pPr>
        <w:pStyle w:val="Normal"/>
        <w:rPr/>
      </w:pPr>
      <w:r>
        <w:t>Resolved. Multiple trailing parentheticals are always maintained in their original left-to-right order, stored as a single PARENTHETICALS string separated by one space, and appended to show names and generated filename bases in that order.</w:t>
      </w:r>
    </w:p>
    <w:p>
      <w:pPr>
        <w:pStyle w:val="Heading2"/>
        <w:rPr/>
      </w:pPr>
      <w:r>
        <w:t>D6. Completion reporting lines</w:t>
      </w:r>
    </w:p>
    <w:p>
      <w:pPr>
        <w:pStyle w:val="Normal"/>
        <w:rPr/>
      </w:pPr>
      <w:r>
        <w:t>Resolved. The exact lines in use are specified in Sections 2.7 and 2.8.</w:t>
      </w:r>
    </w:p>
    <w:p>
      <w:pPr>
        <w:pStyle w:val="Heading2"/>
        <w:rPr/>
      </w:pPr>
      <w:r>
        <w:t>D7. GUI Quit behavior</w:t>
      </w:r>
    </w:p>
    <w:p>
      <w:pPr>
        <w:pStyle w:val="Normal"/>
        <w:rPr/>
      </w:pPr>
      <w:r>
        <w:t>Resolved. The three-state GUI Quit behavior is canonical in Section 15. Appendix D records only the ambiguity disposition.</w:t>
      </w:r>
    </w:p>
    <w:p>
      <w:pPr>
        <w:pStyle w:val="Heading2"/>
        <w:rPr/>
      </w:pPr>
      <w:r>
        <w:t>D8. Wrapper directory definition</w:t>
      </w:r>
    </w:p>
    <w:p>
      <w:pPr>
        <w:pStyle w:val="Normal"/>
        <w:rPr/>
      </w:pPr>
      <w:r>
        <w:t>Resolved by full extraction from the code bundle used for this document. The authoritative wrapper, non-main-directory, containment, weak-suffix, four-digit wrapper, and Phase 2/3 wrapper-segment definitions are listed in Appendix E2.</w:t>
      </w:r>
    </w:p>
    <w:p>
      <w:pPr>
        <w:pStyle w:val="Heading2"/>
        <w:rPr/>
      </w:pPr>
      <w:r>
        <w:t>D9. Artist abbreviation detection timing</w:t>
      </w:r>
    </w:p>
    <w:p>
      <w:pPr>
        <w:pStyle w:val="Normal"/>
        <w:rPr/>
      </w:pPr>
      <w:r>
        <w:t>Resolved. Artist abbreviation detection timing and outcomes are specified in Section 7.5.</w:t>
      </w:r>
    </w:p>
    <w:p>
      <w:pPr>
        <w:pStyle w:val="Heading1"/>
        <w:rPr/>
      </w:pPr>
      <w:r>
        <w:t>Appendix E - Code-Derived Lists and Enumerations</w:t>
      </w:r>
    </w:p>
    <w:p>
      <w:pPr>
        <w:pStyle w:val="Normal"/>
        <w:rPr/>
      </w:pPr>
      <w:r>
        <w:t>This appendix contains static lists, pattern lists, mappings, and enumerations extracted from the supplied code bundle for this document. Regex patterns are shown literally because they are implementation rules, not prose examples.</w:t>
      </w:r>
    </w:p>
    <w:p>
      <w:pPr>
        <w:pStyle w:val="Heading2"/>
        <w:rPr/>
      </w:pPr>
      <w:r>
        <w:t>E1. File Types and File-Name Related Lists</w:t>
      </w:r>
    </w:p>
    <w:p>
      <w:pPr>
        <w:pStyle w:val="Heading3"/>
        <w:rPr/>
      </w:pPr>
      <w:r>
        <w:t>Music/media extensions used for music-file detection</w:t>
      </w:r>
    </w:p>
    <w:p>
      <w:pPr>
        <w:pStyle w:val="Normal"/>
        <w:rPr/>
      </w:pPr>
      <w:r>
        <w:t>.3gp, .aac, .aif, .aiff, .alac, .ape, .avi, .flac, .flv, .m2ts, .m4a, .m4v, .mkv, .mov, .mp3, .mp4, .mpeg, .mpg, .oga, .ogg, .opus, .shn, .shnf, .ts, .vob, .wav, .webm, .wmv, .wv</w:t>
      </w:r>
    </w:p>
    <w:p>
      <w:pPr>
        <w:pStyle w:val="Heading3"/>
        <w:rPr/>
      </w:pPr>
      <w:r>
        <w:t>FLAC tag-reader extensions</w:t>
      </w:r>
    </w:p>
    <w:p>
      <w:pPr>
        <w:pStyle w:val="Normal"/>
        <w:rPr/>
      </w:pPr>
      <w:r>
        <w:t>The current tag reader samples tags only from these extensions in non-compliant mode, and non-compliant mode always runs those tag checks regardless of Performance Mode. See Section 8 for compliant-mode FLAC tag exclusion.</w:t>
      </w:r>
    </w:p>
    <w:p>
      <w:pPr>
        <w:pStyle w:val="Normal"/>
        <w:rPr/>
      </w:pPr>
      <w:r>
        <w:t>.flac</w:t>
      </w:r>
    </w:p>
    <w:p>
      <w:pPr>
        <w:pStyle w:val="Heading3"/>
        <w:rPr/>
      </w:pPr>
      <w:r>
        <w:t>FLAC tag fields read into metadata samples</w:t>
      </w:r>
    </w:p>
    <w:p>
      <w:pPr>
        <w:pStyle w:val="Normal"/>
        <w:rPr/>
      </w:pPr>
      <w:r>
        <w:t>artist, album, albumartist, date (non-compliant mode only; never sampled, logged, or used in compliant mode)</w:t>
      </w:r>
    </w:p>
    <w:p>
      <w:pPr>
        <w:pStyle w:val="Heading3"/>
        <w:rPr/>
      </w:pPr>
      <w:r>
        <w:t>Postprocess/setlist filename constants</w:t>
      </w:r>
    </w:p>
    <w:p>
      <w:pPr>
        <w:pStyle w:val="Normal"/>
        <w:rPr/>
      </w:pPr>
      <w:r>
        <w:t>Setlist output filename base rule: concatenate Artist + Date + Venue + Location + Parentheticals for normal dated records. Remove all characters except letters, numbers, and parentheses from Artist, Venue, Location, Parentheticals, and ordinary fallback text; preserve dashes inside normalized Date values. For String1 - String2 records with no parsed Date, preserve the artist/String2 separator and preserve dashes inside a date-like String2 value.</w:t>
      </w:r>
    </w:p>
    <w:p>
      <w:pPr>
        <w:pStyle w:val="Normal"/>
        <w:rPr/>
      </w:pPr>
      <w:r>
        <w:t>Normalize compact and separated date tokens before stripping filename characters. Examples: IrisDement-19981003 becomes IrisDement-1998-10-03; KarlDensonsTinyUniverse-20020810 becomes KarlDensonsTinyUniverse-2002-08-10; and increasing compact year ranges such as 19961998 become 1996-1998. Decreasing compact ranges such as 19981997 must not be normalized as dates. For literal String1 - String2 show forms where String2 is date-like, preserve the separator and the normalized date dashes: Iris Dement - 1998-10-03 becomes IrisDement-1998-10-03, and KDTU - 2002-08-10 becomes KarlDensonsTinyUniverse-2002-08-10 when the artist is resolved to that master name.</w:t>
      </w:r>
    </w:p>
    <w:p>
      <w:pPr>
        <w:pStyle w:val="Normal"/>
        <w:rPr/>
      </w:pPr>
      <w:r>
        <w:t>SETLIST_EXTENSION = .txt for exported/generated setlists. Source setlist candidates may include .txt plus supported rich-text/word-processing exceptions .rtf, .doc, and .docx when they satisfy the same setlist naming, housekeeping rejection, and readable-text checks.</w:t>
      </w:r>
    </w:p>
    <w:p>
      <w:pPr>
        <w:pStyle w:val="Heading2"/>
        <w:rPr/>
      </w:pPr>
      <w:r>
        <w:t>E2. Phase 1 Directory Pruning and Wrapper Detection</w:t>
      </w:r>
    </w:p>
    <w:p>
      <w:pPr>
        <w:pStyle w:val="Heading3"/>
        <w:rPr/>
      </w:pPr>
      <w:r>
        <w:t>Directory names pruned during Phase 1 tree walk</w:t>
      </w:r>
    </w:p>
    <w:p>
      <w:pPr>
        <w:pStyle w:val="Normal"/>
        <w:rPr/>
      </w:pPr>
      <w:r>
        <w:t>directories ending in -ignoreDir, $RECYCLE.BIN, System Volume Information</w:t>
      </w:r>
    </w:p>
    <w:p>
      <w:pPr>
        <w:pStyle w:val="Heading3"/>
        <w:rPr/>
      </w:pPr>
      <w:r>
        <w:t>Exact wrapper directory patterns</w:t>
      </w:r>
    </w:p>
    <w:p>
      <w:pPr>
        <w:pStyle w:val="Normal"/>
        <w:rPr/>
      </w:pPr>
      <w:r>
        <w:t>^music$</w:t>
      </w:r>
    </w:p>
    <w:p>
      <w:pPr>
        <w:pStyle w:val="Normal"/>
        <w:rPr/>
      </w:pPr>
      <w:r>
        <w:t>^audio$</w:t>
      </w:r>
    </w:p>
    <w:p>
      <w:pPr>
        <w:pStyle w:val="Normal"/>
        <w:rPr/>
      </w:pPr>
      <w:r>
        <w:t>^tunes$</w:t>
      </w:r>
    </w:p>
    <w:p>
      <w:pPr>
        <w:pStyle w:val="Normal"/>
        <w:rPr/>
      </w:pPr>
      <w:r>
        <w:t>^aud$</w:t>
      </w:r>
    </w:p>
    <w:p>
      <w:pPr>
        <w:pStyle w:val="Normal"/>
        <w:rPr/>
      </w:pPr>
      <w:r>
        <w:t>^sbd$</w:t>
      </w:r>
    </w:p>
    <w:p>
      <w:pPr>
        <w:pStyle w:val="Normal"/>
        <w:rPr/>
      </w:pPr>
      <w:r>
        <w:t>^flac$</w:t>
      </w:r>
    </w:p>
    <w:p>
      <w:pPr>
        <w:pStyle w:val="Normal"/>
        <w:rPr/>
      </w:pPr>
      <w:r>
        <w:t>^flacs$</w:t>
      </w:r>
    </w:p>
    <w:p>
      <w:pPr>
        <w:pStyle w:val="Normal"/>
        <w:rPr/>
      </w:pPr>
      <w:r>
        <w:t>^flac files$</w:t>
      </w:r>
    </w:p>
    <w:p>
      <w:pPr>
        <w:pStyle w:val="Normal"/>
        <w:rPr/>
      </w:pPr>
      <w:r>
        <w:t>^shn$</w:t>
      </w:r>
    </w:p>
    <w:p>
      <w:pPr>
        <w:pStyle w:val="Normal"/>
        <w:rPr/>
      </w:pPr>
      <w:r>
        <w:t>^shns$</w:t>
      </w:r>
    </w:p>
    <w:p>
      <w:pPr>
        <w:pStyle w:val="Normal"/>
        <w:rPr/>
      </w:pPr>
      <w:r>
        <w:t>^mp3$</w:t>
      </w:r>
    </w:p>
    <w:p>
      <w:pPr>
        <w:pStyle w:val="Normal"/>
        <w:rPr/>
      </w:pPr>
      <w:r>
        <w:t>^unknown artist$</w:t>
      </w:r>
    </w:p>
    <w:p>
      <w:pPr>
        <w:pStyle w:val="Normal"/>
        <w:rPr/>
      </w:pPr>
      <w:r>
        <w:t>^full-length tracks$</w:t>
      </w:r>
    </w:p>
    <w:p>
      <w:pPr>
        <w:pStyle w:val="Normal"/>
        <w:rPr/>
      </w:pPr>
      <w:r>
        <w:t>^video_ts$</w:t>
      </w:r>
    </w:p>
    <w:p>
      <w:pPr>
        <w:pStyle w:val="Normal"/>
        <w:rPr/>
      </w:pPr>
      <w:r>
        <w:t>^audio_ts$</w:t>
      </w:r>
    </w:p>
    <w:p>
      <w:pPr>
        <w:pStyle w:val="Normal"/>
        <w:rPr/>
      </w:pPr>
      <w:r>
        <w:t>^bdmv$</w:t>
      </w:r>
    </w:p>
    <w:p>
      <w:pPr>
        <w:pStyle w:val="Normal"/>
        <w:rPr/>
      </w:pPr>
      <w:r>
        <w:t>^certificate$</w:t>
      </w:r>
    </w:p>
    <w:p>
      <w:pPr>
        <w:pStyle w:val="Normal"/>
        <w:rPr/>
      </w:pPr>
      <w:r>
        <w:t>^video$</w:t>
      </w:r>
    </w:p>
    <w:p>
      <w:pPr>
        <w:pStyle w:val="Normal"/>
        <w:rPr/>
      </w:pPr>
      <w:r>
        <w:t>^dvd$</w:t>
      </w:r>
    </w:p>
    <w:p>
      <w:pPr>
        <w:pStyle w:val="Normal"/>
        <w:rPr/>
      </w:pPr>
      <w:r>
        <w:t>^bluray$</w:t>
      </w:r>
    </w:p>
    <w:p>
      <w:pPr>
        <w:pStyle w:val="Normal"/>
        <w:rPr/>
      </w:pPr>
      <w:r>
        <w:t>^blu[\s._-]*ray$</w:t>
      </w:r>
    </w:p>
    <w:p>
      <w:pPr>
        <w:pStyle w:val="Normal"/>
        <w:rPr/>
      </w:pPr>
      <w:r>
        <w:t>^fm\s*broadcast$</w:t>
      </w:r>
    </w:p>
    <w:p>
      <w:pPr>
        <w:pStyle w:val="Normal"/>
        <w:rPr/>
      </w:pPr>
      <w:r>
        <w:t>^soundboard$</w:t>
      </w:r>
    </w:p>
    <w:p>
      <w:pPr>
        <w:pStyle w:val="Normal"/>
        <w:rPr/>
      </w:pPr>
      <w:r>
        <w:t>^flacs?\s*and\s*checks?$</w:t>
      </w:r>
    </w:p>
    <w:p>
      <w:pPr>
        <w:pStyle w:val="Normal"/>
        <w:rPr/>
      </w:pPr>
      <w:r>
        <w:t>^volume\s+\d{1,2}$</w:t>
      </w:r>
    </w:p>
    <w:p>
      <w:pPr>
        <w:pStyle w:val="Normal"/>
        <w:rPr/>
      </w:pPr>
      <w:r>
        <w:t>^disc\s+\d{1,2}\s+flac$</w:t>
      </w:r>
    </w:p>
    <w:p>
      <w:pPr>
        <w:pStyle w:val="Normal"/>
        <w:rPr/>
      </w:pPr>
      <w:r>
        <w:t>^disk\s+\d{1,2}\s+flac$</w:t>
      </w:r>
    </w:p>
    <w:p>
      <w:pPr>
        <w:pStyle w:val="Normal"/>
        <w:rPr/>
      </w:pPr>
      <w:r>
        <w:t>^disco\s*\d{1,2}$</w:t>
      </w:r>
    </w:p>
    <w:p>
      <w:pPr>
        <w:pStyle w:val="Normal"/>
        <w:rPr/>
      </w:pPr>
      <w:r>
        <w:t>^cd\s+\d{1,2}.*$</w:t>
      </w:r>
    </w:p>
    <w:p>
      <w:pPr>
        <w:pStyle w:val="Heading3"/>
        <w:rPr/>
      </w:pPr>
      <w:r>
        <w:t>Wrapper-term containment patterns</w:t>
      </w:r>
    </w:p>
    <w:p>
      <w:pPr>
        <w:pStyle w:val="Normal"/>
        <w:rPr/>
      </w:pPr>
      <w:r>
        <w:t>unknown artist</w:t>
      </w:r>
    </w:p>
    <w:p>
      <w:pPr>
        <w:pStyle w:val="Normal"/>
        <w:rPr/>
      </w:pPr>
      <w:r>
        <w:t>fm\s*broadcast</w:t>
      </w:r>
    </w:p>
    <w:p>
      <w:pPr>
        <w:pStyle w:val="Normal"/>
        <w:rPr/>
      </w:pPr>
      <w:r>
        <w:t>soundboard</w:t>
      </w:r>
    </w:p>
    <w:p>
      <w:pPr>
        <w:pStyle w:val="Normal"/>
        <w:rPr/>
      </w:pPr>
      <w:r>
        <w:t>video_ts</w:t>
      </w:r>
    </w:p>
    <w:p>
      <w:pPr>
        <w:pStyle w:val="Normal"/>
        <w:rPr/>
      </w:pPr>
      <w:r>
        <w:t>audio_ts</w:t>
      </w:r>
    </w:p>
    <w:p>
      <w:pPr>
        <w:pStyle w:val="Normal"/>
        <w:rPr/>
      </w:pPr>
      <w:r>
        <w:t>bdmv</w:t>
      </w:r>
    </w:p>
    <w:p>
      <w:pPr>
        <w:pStyle w:val="Normal"/>
        <w:rPr/>
      </w:pPr>
      <w:r>
        <w:t>certificate</w:t>
      </w:r>
    </w:p>
    <w:p>
      <w:pPr>
        <w:pStyle w:val="Normal"/>
        <w:rPr/>
      </w:pPr>
      <w:r>
        <w:t>bluray</w:t>
      </w:r>
    </w:p>
    <w:p>
      <w:pPr>
        <w:pStyle w:val="Normal"/>
        <w:rPr/>
      </w:pPr>
      <w:r>
        <w:t>blu[\s._-]*ray</w:t>
      </w:r>
    </w:p>
    <w:p>
      <w:pPr>
        <w:pStyle w:val="Normal"/>
        <w:rPr/>
      </w:pPr>
      <w:r>
        <w:t>\bflac\b</w:t>
      </w:r>
    </w:p>
    <w:p>
      <w:pPr>
        <w:pStyle w:val="Normal"/>
        <w:rPr/>
      </w:pPr>
      <w:r>
        <w:t>\bflacs\b</w:t>
      </w:r>
    </w:p>
    <w:p>
      <w:pPr>
        <w:pStyle w:val="Normal"/>
        <w:rPr/>
      </w:pPr>
      <w:r>
        <w:t>\baudio\b</w:t>
      </w:r>
    </w:p>
    <w:p>
      <w:pPr>
        <w:pStyle w:val="Normal"/>
        <w:rPr/>
      </w:pPr>
      <w:r>
        <w:t>\bvideo\b</w:t>
      </w:r>
    </w:p>
    <w:p>
      <w:pPr>
        <w:pStyle w:val="Normal"/>
        <w:rPr/>
      </w:pPr>
      <w:r>
        <w:t>\btunes\b</w:t>
      </w:r>
    </w:p>
    <w:p>
      <w:pPr>
        <w:pStyle w:val="Normal"/>
        <w:rPr/>
      </w:pPr>
      <w:r>
        <w:t>\bchecks?\b</w:t>
      </w:r>
    </w:p>
    <w:p>
      <w:pPr>
        <w:pStyle w:val="Normal"/>
        <w:rPr/>
      </w:pPr>
      <w:r>
        <w:t>\bvolume\s+\d{1,2}\b</w:t>
      </w:r>
    </w:p>
    <w:p>
      <w:pPr>
        <w:pStyle w:val="Normal"/>
        <w:rPr/>
      </w:pPr>
      <w:r>
        <w:t>\bdisc\s+\d{1,2}\b</w:t>
      </w:r>
    </w:p>
    <w:p>
      <w:pPr>
        <w:pStyle w:val="Normal"/>
        <w:rPr/>
      </w:pPr>
      <w:r>
        <w:t>\bdisk\s+\d{1,2}\b</w:t>
      </w:r>
    </w:p>
    <w:p>
      <w:pPr>
        <w:pStyle w:val="Normal"/>
        <w:rPr/>
      </w:pPr>
      <w:r>
        <w:t>\bcd\s+\d{1,2}\b</w:t>
      </w:r>
    </w:p>
    <w:p>
      <w:pPr>
        <w:pStyle w:val="Heading3"/>
        <w:rPr/>
      </w:pPr>
      <w:r>
        <w:t>Non-main-directory / volume-part patterns</w:t>
      </w:r>
    </w:p>
    <w:p>
      <w:pPr>
        <w:pStyle w:val="Normal"/>
        <w:rPr/>
      </w:pPr>
      <w:r>
        <w:t>^[\[\(_][\s.\-_]*(disc|disk|cd|pt\.|pt|part|set|side|tape)[\s.\-_]*\d{1,2}[\s.\-_]*[\]\)_]$</w:t>
      </w:r>
    </w:p>
    <w:p>
      <w:pPr>
        <w:pStyle w:val="Normal"/>
        <w:rPr/>
      </w:pPr>
      <w:r>
        <w:t>^(disc|disk|cd|pt\.|pt|lp|set|side)[\s.\-_]*(\d{1,2}|iii|ii|i|one|two|a|b)$</w:t>
      </w:r>
    </w:p>
    <w:p>
      <w:pPr>
        <w:pStyle w:val="Normal"/>
        <w:rPr/>
      </w:pPr>
      <w:r>
        <w:t>^[\[\(_][\s.\-_]*d[\s.\-_]*[012]?[0-9][\s.\-_]*[\]\)_]$</w:t>
      </w:r>
    </w:p>
    <w:p>
      <w:pPr>
        <w:pStyle w:val="Normal"/>
        <w:rPr/>
      </w:pPr>
      <w:r>
        <w:t>^d[\s.\-_]*\d{1,2}[\s.\-_]*(aud|sbd)?[\s.\-_]*(flacs|flac|shns|shnf|shn|master)?$</w:t>
      </w:r>
    </w:p>
    <w:p>
      <w:pPr>
        <w:pStyle w:val="Normal"/>
        <w:rPr/>
      </w:pPr>
      <w:r>
        <w:t>^[\[\(]?[\s.\-_]*(1st|first|2nd|second|acoustic|electric|afternoon|evening)[\s.\-_]*(set|show|side|cd|disc|disk)[\s.\-_]*[\]\)]?$</w:t>
      </w:r>
    </w:p>
    <w:p>
      <w:pPr>
        <w:pStyle w:val="Normal"/>
        <w:rPr/>
      </w:pPr>
      <w:r>
        <w:t>^d[\s.\-_]*\d{1,2}$</w:t>
      </w:r>
    </w:p>
    <w:p>
      <w:pPr>
        <w:pStyle w:val="Normal"/>
        <w:rPr/>
      </w:pPr>
      <w:r>
        <w:t>^#(\s?|.\-|_)\d{1,2}$</w:t>
      </w:r>
    </w:p>
    <w:p>
      <w:pPr>
        <w:pStyle w:val="Heading3"/>
        <w:rPr/>
      </w:pPr>
      <w:r>
        <w:t>Weak suffix patterns stripped from candidate main directories</w:t>
      </w:r>
    </w:p>
    <w:p>
      <w:pPr>
        <w:pStyle w:val="Normal"/>
        <w:rPr/>
      </w:pPr>
      <w:r>
        <w:t>(?:^|[\s._-])(disc|disk|cd|set|side|part|pt)\s*\d{1,2}$</w:t>
      </w:r>
    </w:p>
    <w:p>
      <w:pPr>
        <w:pStyle w:val="Normal"/>
        <w:rPr/>
      </w:pPr>
      <w:r>
        <w:t>(?:^|[\s._-])d\s*\d{1,2}$</w:t>
      </w:r>
    </w:p>
    <w:p>
      <w:pPr>
        <w:pStyle w:val="Heading3"/>
        <w:rPr/>
      </w:pPr>
      <w:r>
        <w:t>Four-digit wrapper rule</w:t>
      </w:r>
    </w:p>
    <w:p>
      <w:pPr>
        <w:pStyle w:val="Normal"/>
        <w:rPr/>
      </w:pPr>
      <w:r>
        <w:t>^\d{4}$</w:t>
      </w:r>
    </w:p>
    <w:p>
      <w:pPr>
        <w:pStyle w:val="Heading3"/>
        <w:rPr/>
      </w:pPr>
      <w:r>
        <w:t>Phase 2/3 wrapper-segment regex</w:t>
      </w:r>
    </w:p>
    <w:p>
      <w:pPr>
        <w:pStyle w:val="Normal"/>
        <w:rPr/>
      </w:pPr>
      <w:r>
        <w:t>(?i)^(?:disc|disk|cd|set|side|part|pt)\s*[a-z0-9]{0,3}$|^d\s*\d{1,2}$|^\d{4}$|^(?:audio|music|flac|flacs|shn|shns|aud|sbd|video|unknown artist)$</w:t>
      </w:r>
    </w:p>
    <w:p>
      <w:pPr>
        <w:pStyle w:val="Heading2"/>
        <w:rPr/>
      </w:pPr>
      <w:r>
        <w:t>E3. Setlist Identification, Housekeeping, and Checksum Lists</w:t>
      </w:r>
    </w:p>
    <w:p>
      <w:pPr>
        <w:pStyle w:val="Normal"/>
        <w:rPr/>
      </w:pPr>
      <w:r>
        <w:t>Generated setlist content is defined canonically in Section 1.3. This appendix does not restate the first-line, metadata-line, TRACKS heading, title-derivation, or ordering rules.</w:t>
      </w:r>
    </w:p>
    <w:p>
      <w:pPr>
        <w:pStyle w:val="Heading3"/>
        <w:rPr/>
      </w:pPr>
      <w:r>
        <w:t>Setlist candidate filename patterns</w:t>
      </w:r>
    </w:p>
    <w:p>
      <w:pPr>
        <w:pStyle w:val="Normal"/>
        <w:rPr/>
      </w:pPr>
      <w:r>
        <w:t>set[\s._-]*list</w:t>
      </w:r>
    </w:p>
    <w:p>
      <w:pPr>
        <w:pStyle w:val="Normal"/>
        <w:rPr/>
      </w:pPr>
      <w:r>
        <w:t>info</w:t>
      </w:r>
    </w:p>
    <w:p>
      <w:pPr>
        <w:pStyle w:val="Normal"/>
        <w:rPr/>
      </w:pPr>
      <w:r>
        <w:t>notes?</w:t>
      </w:r>
    </w:p>
    <w:p>
      <w:pPr>
        <w:pStyle w:val="Normal"/>
        <w:rPr/>
      </w:pPr>
      <w:r>
        <w:t>read[\s._-]*me</w:t>
      </w:r>
    </w:p>
    <w:p>
      <w:pPr>
        <w:pStyle w:val="Normal"/>
        <w:rPr/>
      </w:pPr>
      <w:r>
        <w:t>track</w:t>
      </w:r>
    </w:p>
    <w:p>
      <w:pPr>
        <w:pStyle w:val="Normal"/>
        <w:rPr/>
      </w:pPr>
      <w:r>
        <w:t>song</w:t>
      </w:r>
    </w:p>
    <w:p>
      <w:pPr>
        <w:pStyle w:val="Heading3"/>
        <w:rPr/>
      </w:pPr>
      <w:r>
        <w:t>Housekeeping filename patterns rejected as setlists</w:t>
      </w:r>
    </w:p>
    <w:p>
      <w:pPr>
        <w:pStyle w:val="Normal"/>
        <w:rPr/>
      </w:pPr>
      <w:r>
        <w:t>\bmd5\b</w:t>
      </w:r>
    </w:p>
    <w:p>
      <w:pPr>
        <w:pStyle w:val="Normal"/>
        <w:rPr/>
      </w:pPr>
      <w:r>
        <w:t>\bffp\b</w:t>
      </w:r>
    </w:p>
    <w:p>
      <w:pPr>
        <w:pStyle w:val="Normal"/>
        <w:rPr/>
      </w:pPr>
      <w:r>
        <w:t>\bfpt\b</w:t>
      </w:r>
    </w:p>
    <w:p>
      <w:pPr>
        <w:pStyle w:val="Normal"/>
        <w:rPr/>
      </w:pPr>
      <w:r>
        <w:t>\bsfv\b</w:t>
      </w:r>
    </w:p>
    <w:p>
      <w:pPr>
        <w:pStyle w:val="Normal"/>
        <w:rPr/>
      </w:pPr>
      <w:r>
        <w:t>checksum</w:t>
      </w:r>
    </w:p>
    <w:p>
      <w:pPr>
        <w:pStyle w:val="Normal"/>
        <w:rPr/>
      </w:pPr>
      <w:r>
        <w:t>checksums</w:t>
      </w:r>
    </w:p>
    <w:p>
      <w:pPr>
        <w:pStyle w:val="Normal"/>
        <w:rPr/>
      </w:pPr>
      <w:r>
        <w:t>fingerprint</w:t>
      </w:r>
    </w:p>
    <w:p>
      <w:pPr>
        <w:pStyle w:val="Normal"/>
        <w:rPr/>
      </w:pPr>
      <w:r>
        <w:t>finger</w:t>
      </w:r>
    </w:p>
    <w:p>
      <w:pPr>
        <w:pStyle w:val="Normal"/>
        <w:rPr/>
      </w:pPr>
      <w:r>
        <w:t>\bst5\b</w:t>
      </w:r>
    </w:p>
    <w:p>
      <w:pPr>
        <w:pStyle w:val="Normal"/>
        <w:rPr/>
      </w:pPr>
      <w:r>
        <w:t>\bshn\b</w:t>
      </w:r>
    </w:p>
    <w:p>
      <w:pPr>
        <w:pStyle w:val="Normal"/>
        <w:rPr/>
      </w:pPr>
      <w:r>
        <w:t>\bcue\b</w:t>
      </w:r>
    </w:p>
    <w:p>
      <w:pPr>
        <w:pStyle w:val="Normal"/>
        <w:rPr/>
      </w:pPr>
      <w:r>
        <w:t>\bm3u\b</w:t>
      </w:r>
    </w:p>
    <w:p>
      <w:pPr>
        <w:pStyle w:val="Normal"/>
        <w:rPr/>
      </w:pPr>
      <w:r>
        <w:t>\bm3u8\b</w:t>
      </w:r>
    </w:p>
    <w:p>
      <w:pPr>
        <w:pStyle w:val="Normal"/>
        <w:rPr/>
      </w:pPr>
      <w:r>
        <w:t>\bpls\b</w:t>
      </w:r>
    </w:p>
    <w:p>
      <w:pPr>
        <w:pStyle w:val="Normal"/>
        <w:rPr/>
      </w:pPr>
      <w:r>
        <w:t>\blog\b</w:t>
      </w:r>
    </w:p>
    <w:p>
      <w:pPr>
        <w:pStyle w:val="Normal"/>
        <w:rPr/>
      </w:pPr>
      <w:r>
        <w:t>torrent</w:t>
      </w:r>
    </w:p>
    <w:p>
      <w:pPr>
        <w:pStyle w:val="Normal"/>
        <w:rPr/>
      </w:pPr>
      <w:r>
        <w:t>spectrogram</w:t>
      </w:r>
    </w:p>
    <w:p>
      <w:pPr>
        <w:pStyle w:val="Normal"/>
        <w:rPr/>
      </w:pPr>
      <w:r>
        <w:t>aucdtect</w:t>
      </w:r>
    </w:p>
    <w:p>
      <w:pPr>
        <w:pStyle w:val="Normal"/>
        <w:rPr/>
      </w:pPr>
      <w:r>
        <w:t>dislaimer</w:t>
      </w:r>
    </w:p>
    <w:p>
      <w:pPr>
        <w:pStyle w:val="Normal"/>
        <w:rPr/>
      </w:pPr>
      <w:r>
        <w:t>disclaimer</w:t>
      </w:r>
    </w:p>
    <w:p>
      <w:pPr>
        <w:pStyle w:val="Normal"/>
        <w:rPr/>
      </w:pPr>
      <w:r>
        <w:t>easyed</w:t>
      </w:r>
    </w:p>
    <w:p>
      <w:pPr>
        <w:pStyle w:val="Normal"/>
        <w:rPr/>
      </w:pPr>
      <w:r>
        <w:t>previous</w:t>
      </w:r>
    </w:p>
    <w:p>
      <w:pPr>
        <w:pStyle w:val="Normal"/>
        <w:rPr/>
      </w:pPr>
      <w:r>
        <w:t>trader[']?s?\s*little\s*helper</w:t>
      </w:r>
    </w:p>
    <w:p>
      <w:pPr>
        <w:pStyle w:val="Normal"/>
        <w:rPr/>
      </w:pPr>
      <w:r>
        <w:t>\btlh\b</w:t>
      </w:r>
    </w:p>
    <w:p>
      <w:pPr>
        <w:pStyle w:val="Normal"/>
        <w:rPr/>
      </w:pPr>
      <w:r>
        <w:t>folder[\s._-]*aucdtect</w:t>
      </w:r>
    </w:p>
    <w:p>
      <w:pPr>
        <w:pStyle w:val="Normal"/>
        <w:rPr/>
      </w:pPr>
      <w:r>
        <w:t>ffmpeg</w:t>
      </w:r>
    </w:p>
    <w:p>
      <w:pPr>
        <w:pStyle w:val="Heading3"/>
        <w:rPr/>
      </w:pPr>
      <w:r>
        <w:t>Setlist content signal patterns</w:t>
      </w:r>
    </w:p>
    <w:p>
      <w:r>
        <w:t>Content signal patterns include explicit track/setlist section labels such as Track List, Set List, Songs, Tracks, Contents, and numbered or file-style track rows such as 01 Title, 1) Title, 03 - Title, d1t01 Title, cd1t01 Title, set 2 track 01 Title, and bracketed-duration variants. Consecutive checksum/hash rows are treated as technical sections, not song-title content. Numeric extraction-table rows are not content signals merely because they begin with track numbers; EAC TOC rows and comparable multi-column timestamp/sector rows are technical content and must be rejected.</w:t>
      </w:r>
    </w:p>
    <w:p>
      <w:pPr>
        <w:pStyle w:val="Heading3"/>
        <w:rPr/>
      </w:pPr>
      <w:r>
        <w:t>Setlist line filters</w:t>
      </w:r>
    </w:p>
    <w:p>
      <w:r>
        <w:t>Line filters reject known technical/report rows before title or metadata parsing, including ffp/fpt/checksum/md5/shn fingerprint rows, auCDtect and folder-auCDtect reports, ffmpeg lines, easyed/disclaimer/previous notes, source lineage prose, collector/commentary prose, and technical sample files. Header scanning stops only at a confirmed track-list or checksum boundary, not at a single weak date-looking or track-shaped line.</w:t>
      </w:r>
    </w:p>
    <w:p>
      <w:pPr>
        <w:pStyle w:val="Heading3"/>
        <w:rPr/>
      </w:pPr>
      <w:r>
        <w:t>Checksum-only line patterns</w:t>
      </w:r>
    </w:p>
    <w:p>
      <w:pPr>
        <w:pStyle w:val="Normal"/>
        <w:rPr/>
      </w:pPr>
      <w:r>
        <w:t>Recognize checksum/hash rows consisting of an optional audio filename followed by a colon or equals sign and a 32- to 64-character hexadecimal hash. The filename may include spaces and a leading track number when the extension is a recognized audio extension such as .flac, .wav, .shn, .mp3, .m4a, .ape, .wv, .aif, or .aiff.</w:t>
      </w:r>
    </w:p>
    <w:p>
      <w:pPr>
        <w:pStyle w:val="Normal"/>
        <w:rPr/>
      </w:pPr>
      <w:r>
        <w:t>Examples: 01 Highway Star.flac:81b2cf16b83390c1875f67afb2d37350 and d1t01.wav = 0123456789abcdef0123456789abcdef. Multiple consecutive filename.ext:&lt;hex&gt; rows indicate a checksum/hash section and must not be parsed as track titles.</w:t>
      </w:r>
    </w:p>
    <w:p>
      <w:pPr>
        <w:pStyle w:val="Heading2"/>
        <w:rPr/>
      </w:pPr>
      <w:r>
        <w:t>E4. Date, Month, and Placeholder Pattern Lists</w:t>
      </w:r>
    </w:p>
    <w:p>
      <w:pPr>
        <w:pStyle w:val="Heading3"/>
        <w:rPr/>
      </w:pPr>
      <w:r>
        <w:t>Date Range Patterns</w:t>
      </w:r>
    </w:p>
    <w:p>
      <w:pPr>
        <w:pStyle w:val="Normal"/>
        <w:rPr/>
      </w:pPr>
      <w:r>
        <w:t>Supported range formats: YYYY-YYYY, YY-YY, YYYY-YY, increasing multi-part forms such as 1996-97-98, and underscore-delimited equivalents such as 1996_97. Ranges may use only dashes or underscores and must increase. Ranges made entirely of explicit four-digit years, such as 1917-1939 or 1996-2010, are not span-capped. Shorthand or mixed ranges containing any two-digit component may span no more than five years after normalization. Compact eight-digit values are not ranges during date extraction; the exported-setlist filename normalizer separately handles increasing compact year-range tokens such as 19961998 -&gt; 1996-1998.</w:t>
      </w:r>
    </w:p>
    <w:p>
      <w:pPr>
        <w:pStyle w:val="Normal"/>
        <w:rPr/>
      </w:pPr>
      <w:r>
        <w:t>Pattern definitions include ^(?:19|20)\d{2}[-_](?:19|20)\d{2}$, ^\d{2}[-_]\d{2}$, increasing multi-part year ranges with two to four components, and compact yyyyYY ambiguity handled by COMPACT_YEAR_MONTH_OR_RANGE_RE. Full 4-digit year components must start with 19 or 20; all-explicit 4-digit ranges are valid solely by left-to-right increase, with no maximum span limit.</w:t>
      </w:r>
    </w:p>
    <w:p>
      <w:pPr>
        <w:pStyle w:val="Normal"/>
        <w:rPr/>
      </w:pPr>
      <w:r>
        <w:t>When a date range is detected, treat the first date in the range as the canonical show date and normalize it using the existing date rules.</w:t>
      </w:r>
    </w:p>
    <w:p>
      <w:pPr>
        <w:pStyle w:val="Normal"/>
        <w:rPr/>
      </w:pPr>
      <w:r>
        <w:t>Preserve the full original range string in PARENTHETICALS.</w:t>
      </w:r>
    </w:p>
    <w:p>
      <w:pPr>
        <w:pStyle w:val="Heading3"/>
        <w:rPr/>
      </w:pPr>
      <w:r>
        <w:t>Month and month-abbreviation aliases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Month text</w:t>
            </w:r>
          </w:p>
        </w:tc>
        <w:tc>
          <w:tcPr>
            <w:tcW w:w="4319" w:type="dxa"/>
            <w:tcBorders/>
          </w:tcPr>
          <w:p>
            <w:pPr>
              <w:pStyle w:val="Normal"/>
              <w:spacing w:before="0" w:after="0"/>
              <w:rPr/>
            </w:pPr>
            <w:r>
              <w:rPr>
                <w:sz w:val="16"/>
              </w:rPr>
              <w:t>Month number</w:t>
            </w:r>
          </w:p>
        </w:tc>
      </w:tr>
      <w:tr>
        <w:trPr/>
        <w:tc>
          <w:tcPr>
            <w:tcW w:w="4320" w:type="dxa"/>
            <w:tcBorders/>
          </w:tcPr>
          <w:p>
            <w:pPr>
              <w:pStyle w:val="Normal"/>
              <w:spacing w:before="0" w:after="0"/>
              <w:rPr/>
            </w:pPr>
            <w:r>
              <w:rPr>
                <w:sz w:val="16"/>
              </w:rPr>
              <w:t>apr</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april</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aug</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august</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dec</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december</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feb</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february</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jan</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january</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jul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july</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jun</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june</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mar</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march</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may</w:t>
            </w:r>
          </w:p>
        </w:tc>
        <w:tc>
          <w:tcPr>
            <w:tcW w:w="4319" w:type="dxa"/>
            <w:tcBorders/>
          </w:tcPr>
          <w:p>
            <w:pPr>
              <w:pStyle w:val="Normal"/>
              <w:spacing w:before="0" w:after="0"/>
              <w:rPr/>
            </w:pPr>
            <w:r>
              <w:rPr>
                <w:sz w:val="16"/>
              </w:rPr>
              <w:t>5</w:t>
            </w:r>
          </w:p>
        </w:tc>
      </w:tr>
      <w:tr>
        <w:trPr/>
        <w:tc>
          <w:tcPr>
            <w:tcW w:w="4320" w:type="dxa"/>
            <w:tcBorders/>
          </w:tcPr>
          <w:p>
            <w:pPr>
              <w:pStyle w:val="Normal"/>
              <w:spacing w:before="0" w:after="0"/>
              <w:rPr/>
            </w:pPr>
            <w:r>
              <w:rPr>
                <w:sz w:val="16"/>
              </w:rPr>
              <w:t>nov</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november</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oct</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october</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sep</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september</w:t>
            </w:r>
          </w:p>
        </w:tc>
        <w:tc>
          <w:tcPr>
            <w:tcW w:w="4319" w:type="dxa"/>
            <w:tcBorders/>
          </w:tcPr>
          <w:p>
            <w:pPr>
              <w:pStyle w:val="Normal"/>
              <w:spacing w:before="0" w:after="0"/>
              <w:rPr/>
            </w:pPr>
            <w:r>
              <w:rPr>
                <w:sz w:val="16"/>
              </w:rPr>
              <w:t>9</w:t>
            </w:r>
          </w:p>
        </w:tc>
      </w:tr>
    </w:tbl>
    <w:p>
      <w:pPr>
        <w:pStyle w:val="Heading3"/>
        <w:rPr/>
      </w:pPr>
      <w:r>
        <w:t>Date-pattern list used while evaluating complete paths</w:t>
      </w:r>
    </w:p>
    <w:p>
      <w:pPr>
        <w:pStyle w:val="Normal"/>
        <w:rPr/>
      </w:pPr>
      <w:r>
        <w:t>Month-year partial forms such as November2020, November 2020, Nov 2020, April2001, or April 2001 are recognized as less-specified date candidates and normalize to yyyy-mm-xx only when the year component is four digits. Do not treat Month Day text such as June 15 as a two-digit month-year partial date such as 2015-06-xx.</w:t>
      </w:r>
    </w:p>
    <w:p>
      <w:pPr>
        <w:pStyle w:val="Normal"/>
        <w:rPr/>
      </w:pPr>
      <w:r>
        <w:t>\b(?:19|20)\d{2}([._ -])\d{1,2}\1\d{1,2}\b or \b(?:19|20)\d{2}\s+\d{1,2}\s+\d{1,2}\b; the same separator must be used between all three numeric components. Slash is not accepted for all-numeric dates. The explicit mixed exceptions are \b(?:19|20)\d{2}\s+\d{1,2}[.-]\d{1,2}\b.</w:t>
      </w:r>
    </w:p>
    <w:p>
      <w:pPr>
        <w:pStyle w:val="Normal"/>
        <w:rPr/>
      </w:pPr>
      <w:r>
        <w:t>Compliant folder-name pattern matching additionally accepts the narrow repair form yyyy-mm dd. This repair is compliant-only; ordinary shared date parsing still rejects mixed numeric separators unless a requirement explicitly allows the source-specific exception.</w:t>
      </w:r>
    </w:p>
    <w:p>
      <w:pPr>
        <w:pStyle w:val="Normal"/>
        <w:rPr/>
      </w:pPr>
      <w:r>
        <w:t>\b\d{1,2}([._ -])\d{1,2}\1(?:\d{2}|(?:19|20)\d{2})\b or \b\d{1,2}\s+\d{1,2}\s+(?:\d{2}|(?:19|20)\d{2})\b; the same separator must be used between all three numeric components. Slash is not accepted for all-numeric dates.</w:t>
      </w:r>
    </w:p>
    <w:p>
      <w:pPr>
        <w:pStyle w:val="Normal"/>
        <w:rPr/>
      </w:pPr>
      <w:r>
        <w:t>\b(?:19|20)\d{6}\b (normalize as yyyy-mm-dd only when valid). Compact eight-digit values are not ranges during date extraction; filename normalization may still convert increasing compact year-range tokens such as 19961998 to 1996-1998.</w:t>
      </w:r>
    </w:p>
    <w:p>
      <w:pPr>
        <w:pStyle w:val="Normal"/>
        <w:rPr/>
      </w:pPr>
      <w:r>
        <w:t>\b(?:jan|january|feb|february|mar|march|apr|april|may|jun|june|jul|july|aug|august|sep|sept|september|oct|october|nov|november|dec|december)\s+\d{1,2},?\s+\d{2,4}\b</w:t>
      </w:r>
    </w:p>
    <w:p>
      <w:pPr>
        <w:pStyle w:val="Normal"/>
        <w:rPr/>
      </w:pPr>
      <w:r>
        <w:t>\b\d{1,2}\s+(?:jan|january|feb|february|mar|march|apr|april|may|jun|june|jul|july|aug|august|sep|sept|september|oct|october|nov|november|dec|december),?\s+\d{2,4}\b</w:t>
      </w:r>
    </w:p>
    <w:p>
      <w:pPr>
        <w:pStyle w:val="Normal"/>
        <w:rPr/>
      </w:pPr>
      <w:r>
        <w:t>\b(?:jan|january|feb|february|mar|march|apr|april|may|jun|june|jul|july|aug|august|sep|sept|september|oct|october|nov|november|dec|december)[\s._-]+\d{1,2}[\s._-]+\d{2,4}\b</w:t>
      </w:r>
    </w:p>
    <w:p>
      <w:pPr>
        <w:pStyle w:val="Normal"/>
        <w:rPr/>
      </w:pPr>
      <w:r>
        <w:t>\b\d{1,2}[\s._-]+(?:jan|january|feb|february|mar|march|apr|april|may|jun|june|jul|july|aug|august|sep|sept|september|oct|october|nov|november|dec|december)[\s._-]+\d{2,4}\b</w:t>
      </w:r>
    </w:p>
    <w:p>
      <w:pPr>
        <w:pStyle w:val="Normal"/>
        <w:rPr/>
      </w:pPr>
      <w:r>
        <w:t>\b\d{4}\s+(?:jan|january|feb|february|mar|march|apr|april|may|jun|june|jul|july|aug|august|sep|sept|september|oct|october|nov|november|dec|december)\s+\d{1,2}\b</w:t>
      </w:r>
    </w:p>
    <w:p>
      <w:pPr>
        <w:pStyle w:val="Normal"/>
        <w:rPr/>
      </w:pPr>
      <w:r>
        <w:t>\b\d{4}[\s._-]+(?:jan|january|feb|february|mar|march|apr|april|may|jun|june|jul|july|aug|august|sep|sept|september|oct|october|nov|november|dec|december)[\s._-]+\d{1,2}\b</w:t>
      </w:r>
    </w:p>
    <w:p>
      <w:pPr>
        <w:pStyle w:val="Normal"/>
        <w:rPr/>
      </w:pPr>
      <w:r>
        <w:t>\b\d{1,2}(?:jan|january|feb|february|mar|march|apr|april|may|jun|june|jul|july|aug|august|sep|sept|september|oct|october|nov|november|dec|december)\d{2,4}\b</w:t>
      </w:r>
    </w:p>
    <w:p>
      <w:pPr>
        <w:pStyle w:val="Normal"/>
        <w:rPr/>
      </w:pPr>
      <w:r>
        <w:t>\b(?:jan|january|feb|february|mar|march|apr|april|may|jun|june|jul|july|aug|august|sep|sept|september|oct|october|nov|november|dec|december)\d{4}\b</w:t>
      </w:r>
    </w:p>
    <w:p>
      <w:pPr>
        <w:pStyle w:val="Normal"/>
        <w:rPr/>
      </w:pPr>
      <w:r>
        <w:t>\b\d{4}(?:jan|january|feb|february|mar|march|apr|april|may|jun|june|jul|july|aug|august|sep|sept|september|oct|october|nov|november|dec|december)\d{1,2}\b</w:t>
      </w:r>
    </w:p>
    <w:p>
      <w:pPr>
        <w:pStyle w:val="Normal"/>
        <w:rPr/>
      </w:pPr>
      <w:r>
        <w:t>\b\d{1,2}[._-](?:jan|january|feb|february|mar|march|apr|april|may|jun|june|jul|july|aug|august|sep|sept|september|oct|october|nov|november|dec|december)[._-]\d{2,4}\b</w:t>
      </w:r>
    </w:p>
    <w:p>
      <w:pPr>
        <w:pStyle w:val="Heading3"/>
        <w:rPr/>
      </w:pPr>
      <w:r>
        <w:t>Core date extractor patterns</w:t>
      </w:r>
    </w:p>
    <w:p>
      <w:pPr>
        <w:pStyle w:val="Normal"/>
        <w:rPr/>
      </w:pPr>
      <w:r>
        <w:t>YEAR_FIRST_PATTERN: (?&lt;![0-9xX])(?P&lt;year&gt;(?:\d{2}|(?:19|20)\d{2}|(?:19|20)\d[xX]|(?:19|20)[xX]{2}|[xX]{4}))(?P&lt;sep&gt;(?:\s+|[._-]))(?P&lt;month&gt;[0-9xX]{1,2})(?P=sep)(?P&lt;day&gt;[0-9xX]{1,2})(?![0-9xX]); the same separator text must appear between year/month and month/day. Slash is not accepted.</w:t>
      </w:r>
    </w:p>
    <w:p>
      <w:pPr>
        <w:pStyle w:val="Normal"/>
        <w:rPr/>
      </w:pPr>
      <w:r>
        <w:t>DAY_MONTH_YEAR_END_PATTERN: (?&lt;![0-9xX])(?P&lt;a&gt;[0-9xX]{1,2})(?P&lt;sep1&gt;(?:\s*[._-]\s*|\s+))(?P&lt;b&gt;[0-9xX]{1,2})(?P&lt;sep2&gt;(?:\s*[._-]\s*|\s+))(?P&lt;year&gt;(?:\d{2}|(?:19|20)\d{2}|(?:19|20)\d[xX]|(?:19|20)[xX]{2}|[xX]{4}))(?![0-9xX]); the effective separator kind must be consistent across components. US month/day is preferred when both orders are valid; European day/month is used when US order is invalid and must be confirmed from selected setlist contents when found from path/pattern/filename context.</w:t>
      </w:r>
    </w:p>
    <w:p>
      <w:pPr>
        <w:pStyle w:val="Normal"/>
        <w:rPr/>
      </w:pPr>
      <w:r>
        <w:t>YYYYMMDD: (?&lt;![0-9xX])(?P&lt;year&gt;(?:19|20)\d{2}|(?:19|20)\dx|(?:19|20)xx|xxxx)(?P&lt;month&gt;[0-9xX]{2})(?P&lt;day&gt;[0-9xX]{2})(?![0-9xX]); normalize to yyyy-mm-dd only when valid and when x placeholders obey the right-suffix rule.</w:t>
      </w:r>
    </w:p>
    <w:p>
      <w:pPr>
        <w:pStyle w:val="Normal"/>
        <w:rPr/>
      </w:pPr>
      <w:r>
        <w:t>COMPACT_YEAR_MONTH_OR_RANGE: (?&lt;![0-9xX])(?P&lt;year&gt;(?:19|20)\d{2})(?P&lt;tail&gt;\d{2})(?![0-9xX]); emits yyyy-mm-xx and may also emit yyyy-yyyy when the tail plausibly advances the year within the five-year span.</w:t>
      </w:r>
    </w:p>
    <w:p>
      <w:pPr>
        <w:pStyle w:val="Normal"/>
        <w:rPr/>
      </w:pPr>
      <w:r>
        <w:t>FOUR_PLUS_FOUR_RE: (?&lt;![0-9xX])(?P&lt;year&gt;(?:19|20)\d{2}|(?:19|20)\dx|(?:19|20)xx|xxxx)(?P&lt;four_sep&gt;[ -])(?P&lt;monthday&gt;\d{4})(?![0-9xX]); the space form must resolve to a valid US MMDD or European DDMM date. The dash form first checks exact yyyy-yyyy range handling; non-range dash values then parse as compact dates. Ambiguous valid values prefer US MMDD.</w:t>
      </w:r>
    </w:p>
    <w:p>
      <w:pPr>
        <w:pStyle w:val="Normal"/>
        <w:rPr/>
      </w:pPr>
      <w:r>
        <w:t>Textual month date patterns use MONTH_NAME_CASED_PATTERN, allowing only all-uppercase, all-lowercase, or Title-case month names/abbreviations. They support no-space forms, dash/dot/underscore delimiters, comma/space variants, and punctuation with surrounding spaces such as " - ", "- ", " -", and " . ".</w:t>
      </w:r>
    </w:p>
    <w:p>
      <w:pPr>
        <w:pStyle w:val="Normal"/>
        <w:rPr/>
      </w:pPr>
      <w:r>
        <w:t>Date extraction must ignore audio-format references such as 44.1/16, 24/96, 16/48, 16-44, 24-96, 16-44.1, and similar sample-rate/bit-depth text.</w:t>
      </w:r>
    </w:p>
    <w:p>
      <w:pPr>
        <w:pStyle w:val="Normal"/>
        <w:rPr/>
      </w:pPr>
      <w:r>
        <w:t>Date extraction must reject all-numeric path/filename candidates whose component separators are mixed across period, dash, underscore, and plain-space styles. Whitespace around a punctuation separator may be present, but the underlying separator style must remain consistent. Slash is accepted only while scanning selected setlist contents and FLAC DATE tags, where US m/d/y is preferred, European d/m/y is used only when US order is invalid, and invalid slash candidates are ignored.</w:t>
      </w:r>
    </w:p>
    <w:p>
      <w:pPr>
        <w:pStyle w:val="Normal"/>
        <w:rPr/>
      </w:pPr>
      <w:r>
        <w:t>Day month year with optional ordinal suffix</w:t>
      </w:r>
    </w:p>
    <w:p>
      <w:pPr>
        <w:pStyle w:val="Normal"/>
        <w:rPr/>
      </w:pPr>
      <w:r>
        <w:t>Year month-name day with optional ordinal suffix</w:t>
      </w:r>
    </w:p>
    <w:p>
      <w:pPr>
        <w:pStyle w:val="Heading2"/>
        <w:rPr/>
      </w:pPr>
      <w:r>
        <w:t>E5. Location, State, Country, and City Lists</w:t>
      </w:r>
    </w:p>
    <w:p>
      <w:pPr>
        <w:pStyle w:val="Heading3"/>
        <w:rPr/>
      </w:pPr>
      <w:r>
        <w:t>United States state and District of Columbia codes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Code</w:t>
            </w:r>
          </w:p>
        </w:tc>
        <w:tc>
          <w:tcPr>
            <w:tcW w:w="4319" w:type="dxa"/>
            <w:tcBorders/>
          </w:tcPr>
          <w:p>
            <w:pPr>
              <w:pStyle w:val="Normal"/>
              <w:spacing w:before="0" w:after="0"/>
              <w:rPr/>
            </w:pPr>
            <w:r>
              <w:rPr>
                <w:sz w:val="16"/>
              </w:rPr>
              <w:t>Name</w:t>
            </w:r>
          </w:p>
        </w:tc>
      </w:tr>
      <w:tr>
        <w:trPr/>
        <w:tc>
          <w:tcPr>
            <w:tcW w:w="4320" w:type="dxa"/>
            <w:tcBorders/>
          </w:tcPr>
          <w:p>
            <w:pPr>
              <w:pStyle w:val="Normal"/>
              <w:spacing w:before="0" w:after="0"/>
              <w:rPr/>
            </w:pPr>
            <w:r>
              <w:rPr>
                <w:sz w:val="16"/>
              </w:rPr>
              <w:t>AK</w:t>
            </w:r>
          </w:p>
        </w:tc>
        <w:tc>
          <w:tcPr>
            <w:tcW w:w="4319" w:type="dxa"/>
            <w:tcBorders/>
          </w:tcPr>
          <w:p>
            <w:pPr>
              <w:pStyle w:val="Normal"/>
              <w:spacing w:before="0" w:after="0"/>
              <w:rPr/>
            </w:pPr>
            <w:r>
              <w:rPr>
                <w:sz w:val="16"/>
              </w:rPr>
              <w:t>Alaska</w:t>
            </w:r>
          </w:p>
        </w:tc>
      </w:tr>
      <w:tr>
        <w:trPr/>
        <w:tc>
          <w:tcPr>
            <w:tcW w:w="4320" w:type="dxa"/>
            <w:tcBorders/>
          </w:tcPr>
          <w:p>
            <w:pPr>
              <w:pStyle w:val="Normal"/>
              <w:spacing w:before="0" w:after="0"/>
              <w:rPr/>
            </w:pPr>
            <w:r>
              <w:rPr>
                <w:sz w:val="16"/>
              </w:rPr>
              <w:t>AL</w:t>
            </w:r>
          </w:p>
        </w:tc>
        <w:tc>
          <w:tcPr>
            <w:tcW w:w="4319" w:type="dxa"/>
            <w:tcBorders/>
          </w:tcPr>
          <w:p>
            <w:pPr>
              <w:pStyle w:val="Normal"/>
              <w:spacing w:before="0" w:after="0"/>
              <w:rPr/>
            </w:pPr>
            <w:r>
              <w:rPr>
                <w:sz w:val="16"/>
              </w:rPr>
              <w:t>Alabama</w:t>
            </w:r>
          </w:p>
        </w:tc>
      </w:tr>
      <w:tr>
        <w:trPr/>
        <w:tc>
          <w:tcPr>
            <w:tcW w:w="4320" w:type="dxa"/>
            <w:tcBorders/>
          </w:tcPr>
          <w:p>
            <w:pPr>
              <w:pStyle w:val="Normal"/>
              <w:spacing w:before="0" w:after="0"/>
              <w:rPr/>
            </w:pPr>
            <w:r>
              <w:rPr>
                <w:sz w:val="16"/>
              </w:rPr>
              <w:t>AR</w:t>
            </w:r>
          </w:p>
        </w:tc>
        <w:tc>
          <w:tcPr>
            <w:tcW w:w="4319" w:type="dxa"/>
            <w:tcBorders/>
          </w:tcPr>
          <w:p>
            <w:pPr>
              <w:pStyle w:val="Normal"/>
              <w:spacing w:before="0" w:after="0"/>
              <w:rPr/>
            </w:pPr>
            <w:r>
              <w:rPr>
                <w:sz w:val="16"/>
              </w:rPr>
              <w:t>Arkansas</w:t>
            </w:r>
          </w:p>
        </w:tc>
      </w:tr>
      <w:tr>
        <w:trPr/>
        <w:tc>
          <w:tcPr>
            <w:tcW w:w="4320" w:type="dxa"/>
            <w:tcBorders/>
          </w:tcPr>
          <w:p>
            <w:pPr>
              <w:pStyle w:val="Normal"/>
              <w:spacing w:before="0" w:after="0"/>
              <w:rPr/>
            </w:pPr>
            <w:r>
              <w:rPr>
                <w:sz w:val="16"/>
              </w:rPr>
              <w:t>AZ</w:t>
            </w:r>
          </w:p>
        </w:tc>
        <w:tc>
          <w:tcPr>
            <w:tcW w:w="4319" w:type="dxa"/>
            <w:tcBorders/>
          </w:tcPr>
          <w:p>
            <w:pPr>
              <w:pStyle w:val="Normal"/>
              <w:spacing w:before="0" w:after="0"/>
              <w:rPr/>
            </w:pPr>
            <w:r>
              <w:rPr>
                <w:sz w:val="16"/>
              </w:rPr>
              <w:t>Arizona</w:t>
            </w:r>
          </w:p>
        </w:tc>
      </w:tr>
      <w:tr>
        <w:trPr/>
        <w:tc>
          <w:tcPr>
            <w:tcW w:w="4320" w:type="dxa"/>
            <w:tcBorders/>
          </w:tcPr>
          <w:p>
            <w:pPr>
              <w:pStyle w:val="Normal"/>
              <w:spacing w:before="0" w:after="0"/>
              <w:rPr/>
            </w:pPr>
            <w:r>
              <w:rPr>
                <w:sz w:val="16"/>
              </w:rPr>
              <w:t>CA</w:t>
            </w:r>
          </w:p>
        </w:tc>
        <w:tc>
          <w:tcPr>
            <w:tcW w:w="4319" w:type="dxa"/>
            <w:tcBorders/>
          </w:tcPr>
          <w:p>
            <w:pPr>
              <w:pStyle w:val="Normal"/>
              <w:spacing w:before="0" w:after="0"/>
              <w:rPr/>
            </w:pPr>
            <w:r>
              <w:rPr>
                <w:sz w:val="16"/>
              </w:rPr>
              <w:t>California</w:t>
            </w:r>
          </w:p>
        </w:tc>
      </w:tr>
      <w:tr>
        <w:trPr/>
        <w:tc>
          <w:tcPr>
            <w:tcW w:w="4320" w:type="dxa"/>
            <w:tcBorders/>
          </w:tcPr>
          <w:p>
            <w:pPr>
              <w:pStyle w:val="Normal"/>
              <w:spacing w:before="0" w:after="0"/>
              <w:rPr/>
            </w:pPr>
            <w:r>
              <w:rPr>
                <w:sz w:val="16"/>
              </w:rPr>
              <w:t>CO</w:t>
            </w:r>
          </w:p>
        </w:tc>
        <w:tc>
          <w:tcPr>
            <w:tcW w:w="4319" w:type="dxa"/>
            <w:tcBorders/>
          </w:tcPr>
          <w:p>
            <w:pPr>
              <w:pStyle w:val="Normal"/>
              <w:spacing w:before="0" w:after="0"/>
              <w:rPr/>
            </w:pPr>
            <w:r>
              <w:rPr>
                <w:sz w:val="16"/>
              </w:rPr>
              <w:t>Colorado</w:t>
            </w:r>
          </w:p>
        </w:tc>
      </w:tr>
      <w:tr>
        <w:trPr/>
        <w:tc>
          <w:tcPr>
            <w:tcW w:w="4320" w:type="dxa"/>
            <w:tcBorders/>
          </w:tcPr>
          <w:p>
            <w:pPr>
              <w:pStyle w:val="Normal"/>
              <w:spacing w:before="0" w:after="0"/>
              <w:rPr/>
            </w:pPr>
            <w:r>
              <w:rPr>
                <w:sz w:val="16"/>
              </w:rPr>
              <w:t>CT</w:t>
            </w:r>
          </w:p>
        </w:tc>
        <w:tc>
          <w:tcPr>
            <w:tcW w:w="4319" w:type="dxa"/>
            <w:tcBorders/>
          </w:tcPr>
          <w:p>
            <w:pPr>
              <w:pStyle w:val="Normal"/>
              <w:spacing w:before="0" w:after="0"/>
              <w:rPr/>
            </w:pPr>
            <w:r>
              <w:rPr>
                <w:sz w:val="16"/>
              </w:rPr>
              <w:t>Connecticut</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District of Columbia</w:t>
            </w:r>
          </w:p>
        </w:tc>
      </w:tr>
      <w:tr>
        <w:trPr/>
        <w:tc>
          <w:tcPr>
            <w:tcW w:w="4320" w:type="dxa"/>
            <w:tcBorders/>
          </w:tcPr>
          <w:p>
            <w:pPr>
              <w:pStyle w:val="Normal"/>
              <w:spacing w:before="0" w:after="0"/>
              <w:rPr/>
            </w:pPr>
            <w:r>
              <w:rPr>
                <w:sz w:val="16"/>
              </w:rPr>
              <w:t>DE</w:t>
            </w:r>
          </w:p>
        </w:tc>
        <w:tc>
          <w:tcPr>
            <w:tcW w:w="4319" w:type="dxa"/>
            <w:tcBorders/>
          </w:tcPr>
          <w:p>
            <w:pPr>
              <w:pStyle w:val="Normal"/>
              <w:spacing w:before="0" w:after="0"/>
              <w:rPr/>
            </w:pPr>
            <w:r>
              <w:rPr>
                <w:sz w:val="16"/>
              </w:rPr>
              <w:t>Delaware</w:t>
            </w:r>
          </w:p>
        </w:tc>
      </w:tr>
      <w:tr>
        <w:trPr/>
        <w:tc>
          <w:tcPr>
            <w:tcW w:w="4320" w:type="dxa"/>
            <w:tcBorders/>
          </w:tcPr>
          <w:p>
            <w:pPr>
              <w:pStyle w:val="Normal"/>
              <w:spacing w:before="0" w:after="0"/>
              <w:rPr/>
            </w:pPr>
            <w:r>
              <w:rPr>
                <w:sz w:val="16"/>
              </w:rPr>
              <w:t>FL</w:t>
            </w:r>
          </w:p>
        </w:tc>
        <w:tc>
          <w:tcPr>
            <w:tcW w:w="4319" w:type="dxa"/>
            <w:tcBorders/>
          </w:tcPr>
          <w:p>
            <w:pPr>
              <w:pStyle w:val="Normal"/>
              <w:spacing w:before="0" w:after="0"/>
              <w:rPr/>
            </w:pPr>
            <w:r>
              <w:rPr>
                <w:sz w:val="16"/>
              </w:rPr>
              <w:t>Florida</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Georgia</w:t>
            </w:r>
          </w:p>
        </w:tc>
      </w:tr>
      <w:tr>
        <w:trPr/>
        <w:tc>
          <w:tcPr>
            <w:tcW w:w="4320" w:type="dxa"/>
            <w:tcBorders/>
          </w:tcPr>
          <w:p>
            <w:pPr>
              <w:pStyle w:val="Normal"/>
              <w:spacing w:before="0" w:after="0"/>
              <w:rPr/>
            </w:pPr>
            <w:r>
              <w:rPr>
                <w:sz w:val="16"/>
              </w:rPr>
              <w:t>HI</w:t>
            </w:r>
          </w:p>
        </w:tc>
        <w:tc>
          <w:tcPr>
            <w:tcW w:w="4319" w:type="dxa"/>
            <w:tcBorders/>
          </w:tcPr>
          <w:p>
            <w:pPr>
              <w:pStyle w:val="Normal"/>
              <w:spacing w:before="0" w:after="0"/>
              <w:rPr/>
            </w:pPr>
            <w:r>
              <w:rPr>
                <w:sz w:val="16"/>
              </w:rPr>
              <w:t>Hawaii</w:t>
            </w:r>
          </w:p>
        </w:tc>
      </w:tr>
      <w:tr>
        <w:trPr/>
        <w:tc>
          <w:tcPr>
            <w:tcW w:w="4320" w:type="dxa"/>
            <w:tcBorders/>
          </w:tcPr>
          <w:p>
            <w:pPr>
              <w:pStyle w:val="Normal"/>
              <w:spacing w:before="0" w:after="0"/>
              <w:rPr/>
            </w:pPr>
            <w:r>
              <w:rPr>
                <w:sz w:val="16"/>
              </w:rPr>
              <w:t>IA</w:t>
            </w:r>
          </w:p>
        </w:tc>
        <w:tc>
          <w:tcPr>
            <w:tcW w:w="4319" w:type="dxa"/>
            <w:tcBorders/>
          </w:tcPr>
          <w:p>
            <w:pPr>
              <w:pStyle w:val="Normal"/>
              <w:spacing w:before="0" w:after="0"/>
              <w:rPr/>
            </w:pPr>
            <w:r>
              <w:rPr>
                <w:sz w:val="16"/>
              </w:rPr>
              <w:t>Iowa</w:t>
            </w:r>
          </w:p>
        </w:tc>
      </w:tr>
      <w:tr>
        <w:trPr/>
        <w:tc>
          <w:tcPr>
            <w:tcW w:w="4320" w:type="dxa"/>
            <w:tcBorders/>
          </w:tcPr>
          <w:p>
            <w:pPr>
              <w:pStyle w:val="Normal"/>
              <w:spacing w:before="0" w:after="0"/>
              <w:rPr/>
            </w:pPr>
            <w:r>
              <w:rPr>
                <w:sz w:val="16"/>
              </w:rPr>
              <w:t>ID</w:t>
            </w:r>
          </w:p>
        </w:tc>
        <w:tc>
          <w:tcPr>
            <w:tcW w:w="4319" w:type="dxa"/>
            <w:tcBorders/>
          </w:tcPr>
          <w:p>
            <w:pPr>
              <w:pStyle w:val="Normal"/>
              <w:spacing w:before="0" w:after="0"/>
              <w:rPr/>
            </w:pPr>
            <w:r>
              <w:rPr>
                <w:sz w:val="16"/>
              </w:rPr>
              <w:t>Idaho</w:t>
            </w:r>
          </w:p>
        </w:tc>
      </w:tr>
      <w:tr>
        <w:trPr/>
        <w:tc>
          <w:tcPr>
            <w:tcW w:w="4320" w:type="dxa"/>
            <w:tcBorders/>
          </w:tcPr>
          <w:p>
            <w:pPr>
              <w:pStyle w:val="Normal"/>
              <w:spacing w:before="0" w:after="0"/>
              <w:rPr/>
            </w:pPr>
            <w:r>
              <w:rPr>
                <w:sz w:val="16"/>
              </w:rPr>
              <w:t>IL</w:t>
            </w:r>
          </w:p>
        </w:tc>
        <w:tc>
          <w:tcPr>
            <w:tcW w:w="4319" w:type="dxa"/>
            <w:tcBorders/>
          </w:tcPr>
          <w:p>
            <w:pPr>
              <w:pStyle w:val="Normal"/>
              <w:spacing w:before="0" w:after="0"/>
              <w:rPr/>
            </w:pPr>
            <w:r>
              <w:rPr>
                <w:sz w:val="16"/>
              </w:rPr>
              <w:t>Illinois</w:t>
            </w:r>
          </w:p>
        </w:tc>
      </w:tr>
      <w:tr>
        <w:trPr/>
        <w:tc>
          <w:tcPr>
            <w:tcW w:w="4320" w:type="dxa"/>
            <w:tcBorders/>
          </w:tcPr>
          <w:p>
            <w:pPr>
              <w:pStyle w:val="Normal"/>
              <w:spacing w:before="0" w:after="0"/>
              <w:rPr/>
            </w:pPr>
            <w:r>
              <w:rPr>
                <w:sz w:val="16"/>
              </w:rPr>
              <w:t>IN</w:t>
            </w:r>
          </w:p>
        </w:tc>
        <w:tc>
          <w:tcPr>
            <w:tcW w:w="4319" w:type="dxa"/>
            <w:tcBorders/>
          </w:tcPr>
          <w:p>
            <w:pPr>
              <w:pStyle w:val="Normal"/>
              <w:spacing w:before="0" w:after="0"/>
              <w:rPr/>
            </w:pPr>
            <w:r>
              <w:rPr>
                <w:sz w:val="16"/>
              </w:rPr>
              <w:t>Indiana</w:t>
            </w:r>
          </w:p>
        </w:tc>
      </w:tr>
      <w:tr>
        <w:trPr/>
        <w:tc>
          <w:tcPr>
            <w:tcW w:w="4320" w:type="dxa"/>
            <w:tcBorders/>
          </w:tcPr>
          <w:p>
            <w:pPr>
              <w:pStyle w:val="Normal"/>
              <w:spacing w:before="0" w:after="0"/>
              <w:rPr/>
            </w:pPr>
            <w:r>
              <w:rPr>
                <w:sz w:val="16"/>
              </w:rPr>
              <w:t>KS</w:t>
            </w:r>
          </w:p>
        </w:tc>
        <w:tc>
          <w:tcPr>
            <w:tcW w:w="4319" w:type="dxa"/>
            <w:tcBorders/>
          </w:tcPr>
          <w:p>
            <w:pPr>
              <w:pStyle w:val="Normal"/>
              <w:spacing w:before="0" w:after="0"/>
              <w:rPr/>
            </w:pPr>
            <w:r>
              <w:rPr>
                <w:sz w:val="16"/>
              </w:rPr>
              <w:t>Kansas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Kentucky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Louisiana</w:t>
            </w:r>
          </w:p>
        </w:tc>
      </w:tr>
      <w:tr>
        <w:trPr/>
        <w:tc>
          <w:tcPr>
            <w:tcW w:w="4320" w:type="dxa"/>
            <w:tcBorders/>
          </w:tcPr>
          <w:p>
            <w:pPr>
              <w:pStyle w:val="Normal"/>
              <w:spacing w:before="0" w:after="0"/>
              <w:rPr/>
            </w:pPr>
            <w:r>
              <w:rPr>
                <w:sz w:val="16"/>
              </w:rPr>
              <w:t>MA</w:t>
            </w:r>
          </w:p>
        </w:tc>
        <w:tc>
          <w:tcPr>
            <w:tcW w:w="4319" w:type="dxa"/>
            <w:tcBorders/>
          </w:tcPr>
          <w:p>
            <w:pPr>
              <w:pStyle w:val="Normal"/>
              <w:spacing w:before="0" w:after="0"/>
              <w:rPr/>
            </w:pPr>
            <w:r>
              <w:rPr>
                <w:sz w:val="16"/>
              </w:rPr>
              <w:t>Massachusetts</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Maryland</w:t>
            </w:r>
          </w:p>
        </w:tc>
      </w:tr>
      <w:tr>
        <w:trPr/>
        <w:tc>
          <w:tcPr>
            <w:tcW w:w="4320" w:type="dxa"/>
            <w:tcBorders/>
          </w:tcPr>
          <w:p>
            <w:pPr>
              <w:pStyle w:val="Normal"/>
              <w:spacing w:before="0" w:after="0"/>
              <w:rPr/>
            </w:pPr>
            <w:r>
              <w:rPr>
                <w:sz w:val="16"/>
              </w:rPr>
              <w:t>ME</w:t>
            </w:r>
          </w:p>
        </w:tc>
        <w:tc>
          <w:tcPr>
            <w:tcW w:w="4319" w:type="dxa"/>
            <w:tcBorders/>
          </w:tcPr>
          <w:p>
            <w:pPr>
              <w:pStyle w:val="Normal"/>
              <w:spacing w:before="0" w:after="0"/>
              <w:rPr/>
            </w:pPr>
            <w:r>
              <w:rPr>
                <w:sz w:val="16"/>
              </w:rPr>
              <w:t>Maine</w:t>
            </w:r>
          </w:p>
        </w:tc>
      </w:tr>
      <w:tr>
        <w:trPr/>
        <w:tc>
          <w:tcPr>
            <w:tcW w:w="4320" w:type="dxa"/>
            <w:tcBorders/>
          </w:tcPr>
          <w:p>
            <w:pPr>
              <w:pStyle w:val="Normal"/>
              <w:spacing w:before="0" w:after="0"/>
              <w:rPr/>
            </w:pPr>
            <w:r>
              <w:rPr>
                <w:sz w:val="16"/>
              </w:rPr>
              <w:t>MI</w:t>
            </w:r>
          </w:p>
        </w:tc>
        <w:tc>
          <w:tcPr>
            <w:tcW w:w="4319" w:type="dxa"/>
            <w:tcBorders/>
          </w:tcPr>
          <w:p>
            <w:pPr>
              <w:pStyle w:val="Normal"/>
              <w:spacing w:before="0" w:after="0"/>
              <w:rPr/>
            </w:pPr>
            <w:r>
              <w:rPr>
                <w:sz w:val="16"/>
              </w:rPr>
              <w:t>Michigan</w:t>
            </w:r>
          </w:p>
        </w:tc>
      </w:tr>
      <w:tr>
        <w:trPr/>
        <w:tc>
          <w:tcPr>
            <w:tcW w:w="4320" w:type="dxa"/>
            <w:tcBorders/>
          </w:tcPr>
          <w:p>
            <w:pPr>
              <w:pStyle w:val="Normal"/>
              <w:spacing w:before="0" w:after="0"/>
              <w:rPr/>
            </w:pPr>
            <w:r>
              <w:rPr>
                <w:sz w:val="16"/>
              </w:rPr>
              <w:t>MN</w:t>
            </w:r>
          </w:p>
        </w:tc>
        <w:tc>
          <w:tcPr>
            <w:tcW w:w="4319" w:type="dxa"/>
            <w:tcBorders/>
          </w:tcPr>
          <w:p>
            <w:pPr>
              <w:pStyle w:val="Normal"/>
              <w:spacing w:before="0" w:after="0"/>
              <w:rPr/>
            </w:pPr>
            <w:r>
              <w:rPr>
                <w:sz w:val="16"/>
              </w:rPr>
              <w:t>Minnesota</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Missouri</w:t>
            </w:r>
          </w:p>
        </w:tc>
      </w:tr>
      <w:tr>
        <w:trPr/>
        <w:tc>
          <w:tcPr>
            <w:tcW w:w="4320" w:type="dxa"/>
            <w:tcBorders/>
          </w:tcPr>
          <w:p>
            <w:pPr>
              <w:pStyle w:val="Normal"/>
              <w:spacing w:before="0" w:after="0"/>
              <w:rPr/>
            </w:pPr>
            <w:r>
              <w:rPr>
                <w:sz w:val="16"/>
              </w:rPr>
              <w:t>MS</w:t>
            </w:r>
          </w:p>
        </w:tc>
        <w:tc>
          <w:tcPr>
            <w:tcW w:w="4319" w:type="dxa"/>
            <w:tcBorders/>
          </w:tcPr>
          <w:p>
            <w:pPr>
              <w:pStyle w:val="Normal"/>
              <w:spacing w:before="0" w:after="0"/>
              <w:rPr/>
            </w:pPr>
            <w:r>
              <w:rPr>
                <w:sz w:val="16"/>
              </w:rPr>
              <w:t>Mississippi</w:t>
            </w:r>
          </w:p>
        </w:tc>
      </w:tr>
      <w:tr>
        <w:trPr/>
        <w:tc>
          <w:tcPr>
            <w:tcW w:w="4320" w:type="dxa"/>
            <w:tcBorders/>
          </w:tcPr>
          <w:p>
            <w:pPr>
              <w:pStyle w:val="Normal"/>
              <w:spacing w:before="0" w:after="0"/>
              <w:rPr/>
            </w:pPr>
            <w:r>
              <w:rPr>
                <w:sz w:val="16"/>
              </w:rPr>
              <w:t>MT</w:t>
            </w:r>
          </w:p>
        </w:tc>
        <w:tc>
          <w:tcPr>
            <w:tcW w:w="4319" w:type="dxa"/>
            <w:tcBorders/>
          </w:tcPr>
          <w:p>
            <w:pPr>
              <w:pStyle w:val="Normal"/>
              <w:spacing w:before="0" w:after="0"/>
              <w:rPr/>
            </w:pPr>
            <w:r>
              <w:rPr>
                <w:sz w:val="16"/>
              </w:rPr>
              <w:t>Montana</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North Carolina</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North Dakota</w:t>
            </w:r>
          </w:p>
        </w:tc>
      </w:tr>
      <w:tr>
        <w:trPr/>
        <w:tc>
          <w:tcPr>
            <w:tcW w:w="4320" w:type="dxa"/>
            <w:tcBorders/>
          </w:tcPr>
          <w:p>
            <w:pPr>
              <w:pStyle w:val="Normal"/>
              <w:spacing w:before="0" w:after="0"/>
              <w:rPr/>
            </w:pPr>
            <w:r>
              <w:rPr>
                <w:sz w:val="16"/>
              </w:rPr>
              <w:t>NE</w:t>
            </w:r>
          </w:p>
        </w:tc>
        <w:tc>
          <w:tcPr>
            <w:tcW w:w="4319" w:type="dxa"/>
            <w:tcBorders/>
          </w:tcPr>
          <w:p>
            <w:pPr>
              <w:pStyle w:val="Normal"/>
              <w:spacing w:before="0" w:after="0"/>
              <w:rPr/>
            </w:pPr>
            <w:r>
              <w:rPr>
                <w:sz w:val="16"/>
              </w:rPr>
              <w:t>Nebraska</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New Hampshire</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New Jersey</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New Mexico</w:t>
            </w:r>
          </w:p>
        </w:tc>
      </w:tr>
      <w:tr>
        <w:trPr/>
        <w:tc>
          <w:tcPr>
            <w:tcW w:w="4320" w:type="dxa"/>
            <w:tcBorders/>
          </w:tcPr>
          <w:p>
            <w:pPr>
              <w:pStyle w:val="Normal"/>
              <w:spacing w:before="0" w:after="0"/>
              <w:rPr/>
            </w:pPr>
            <w:r>
              <w:rPr>
                <w:sz w:val="16"/>
              </w:rPr>
              <w:t>NV</w:t>
            </w:r>
          </w:p>
        </w:tc>
        <w:tc>
          <w:tcPr>
            <w:tcW w:w="4319" w:type="dxa"/>
            <w:tcBorders/>
          </w:tcPr>
          <w:p>
            <w:pPr>
              <w:pStyle w:val="Normal"/>
              <w:spacing w:before="0" w:after="0"/>
              <w:rPr/>
            </w:pPr>
            <w:r>
              <w:rPr>
                <w:sz w:val="16"/>
              </w:rPr>
              <w:t>Nevada</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New York</w:t>
            </w:r>
          </w:p>
        </w:tc>
      </w:tr>
      <w:tr>
        <w:trPr/>
        <w:tc>
          <w:tcPr>
            <w:tcW w:w="4320" w:type="dxa"/>
            <w:tcBorders/>
          </w:tcPr>
          <w:p>
            <w:pPr>
              <w:pStyle w:val="Normal"/>
              <w:spacing w:before="0" w:after="0"/>
              <w:rPr/>
            </w:pPr>
            <w:r>
              <w:rPr>
                <w:sz w:val="16"/>
              </w:rPr>
              <w:t>OH</w:t>
            </w:r>
          </w:p>
        </w:tc>
        <w:tc>
          <w:tcPr>
            <w:tcW w:w="4319" w:type="dxa"/>
            <w:tcBorders/>
          </w:tcPr>
          <w:p>
            <w:pPr>
              <w:pStyle w:val="Normal"/>
              <w:spacing w:before="0" w:after="0"/>
              <w:rPr/>
            </w:pPr>
            <w:r>
              <w:rPr>
                <w:sz w:val="16"/>
              </w:rPr>
              <w:t>Ohio</w:t>
            </w:r>
          </w:p>
        </w:tc>
      </w:tr>
      <w:tr>
        <w:trPr/>
        <w:tc>
          <w:tcPr>
            <w:tcW w:w="4320" w:type="dxa"/>
            <w:tcBorders/>
          </w:tcPr>
          <w:p>
            <w:pPr>
              <w:pStyle w:val="Normal"/>
              <w:spacing w:before="0" w:after="0"/>
              <w:rPr/>
            </w:pPr>
            <w:r>
              <w:rPr>
                <w:sz w:val="16"/>
              </w:rPr>
              <w:t>OK</w:t>
            </w:r>
          </w:p>
        </w:tc>
        <w:tc>
          <w:tcPr>
            <w:tcW w:w="4319" w:type="dxa"/>
            <w:tcBorders/>
          </w:tcPr>
          <w:p>
            <w:pPr>
              <w:pStyle w:val="Normal"/>
              <w:spacing w:before="0" w:after="0"/>
              <w:rPr/>
            </w:pPr>
            <w:r>
              <w:rPr>
                <w:sz w:val="16"/>
              </w:rPr>
              <w:t>Oklahoma</w:t>
            </w:r>
          </w:p>
        </w:tc>
      </w:tr>
      <w:tr>
        <w:trPr/>
        <w:tc>
          <w:tcPr>
            <w:tcW w:w="4320" w:type="dxa"/>
            <w:tcBorders/>
          </w:tcPr>
          <w:p>
            <w:pPr>
              <w:pStyle w:val="Normal"/>
              <w:spacing w:before="0" w:after="0"/>
              <w:rPr/>
            </w:pPr>
            <w:r>
              <w:rPr>
                <w:sz w:val="16"/>
              </w:rPr>
              <w:t>OR</w:t>
            </w:r>
          </w:p>
        </w:tc>
        <w:tc>
          <w:tcPr>
            <w:tcW w:w="4319" w:type="dxa"/>
            <w:tcBorders/>
          </w:tcPr>
          <w:p>
            <w:pPr>
              <w:pStyle w:val="Normal"/>
              <w:spacing w:before="0" w:after="0"/>
              <w:rPr/>
            </w:pPr>
            <w:r>
              <w:rPr>
                <w:sz w:val="16"/>
              </w:rPr>
              <w:t>Oregon</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Pennsylvania</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Rhode Island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South Carolina</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South Dakota</w:t>
            </w:r>
          </w:p>
        </w:tc>
      </w:tr>
      <w:tr>
        <w:trPr/>
        <w:tc>
          <w:tcPr>
            <w:tcW w:w="4320" w:type="dxa"/>
            <w:tcBorders/>
          </w:tcPr>
          <w:p>
            <w:pPr>
              <w:pStyle w:val="Normal"/>
              <w:spacing w:before="0" w:after="0"/>
              <w:rPr/>
            </w:pPr>
            <w:r>
              <w:rPr>
                <w:sz w:val="16"/>
              </w:rPr>
              <w:t>TN</w:t>
            </w:r>
          </w:p>
        </w:tc>
        <w:tc>
          <w:tcPr>
            <w:tcW w:w="4319" w:type="dxa"/>
            <w:tcBorders/>
          </w:tcPr>
          <w:p>
            <w:pPr>
              <w:pStyle w:val="Normal"/>
              <w:spacing w:before="0" w:after="0"/>
              <w:rPr/>
            </w:pPr>
            <w:r>
              <w:rPr>
                <w:sz w:val="16"/>
              </w:rPr>
              <w:t>Tennessee</w:t>
            </w:r>
          </w:p>
        </w:tc>
      </w:tr>
      <w:tr>
        <w:trPr/>
        <w:tc>
          <w:tcPr>
            <w:tcW w:w="4320" w:type="dxa"/>
            <w:tcBorders/>
          </w:tcPr>
          <w:p>
            <w:pPr>
              <w:pStyle w:val="Normal"/>
              <w:spacing w:before="0" w:after="0"/>
              <w:rPr/>
            </w:pPr>
            <w:r>
              <w:rPr>
                <w:sz w:val="16"/>
              </w:rPr>
              <w:t>TX</w:t>
            </w:r>
          </w:p>
        </w:tc>
        <w:tc>
          <w:tcPr>
            <w:tcW w:w="4319" w:type="dxa"/>
            <w:tcBorders/>
          </w:tcPr>
          <w:p>
            <w:pPr>
              <w:pStyle w:val="Normal"/>
              <w:spacing w:before="0" w:after="0"/>
              <w:rPr/>
            </w:pPr>
            <w:r>
              <w:rPr>
                <w:sz w:val="16"/>
              </w:rPr>
              <w:t>Texas</w:t>
            </w:r>
          </w:p>
        </w:tc>
      </w:tr>
      <w:tr>
        <w:trPr/>
        <w:tc>
          <w:tcPr>
            <w:tcW w:w="4320" w:type="dxa"/>
            <w:tcBorders/>
          </w:tcPr>
          <w:p>
            <w:pPr>
              <w:pStyle w:val="Normal"/>
              <w:spacing w:before="0" w:after="0"/>
              <w:rPr/>
            </w:pPr>
            <w:r>
              <w:rPr>
                <w:sz w:val="16"/>
              </w:rPr>
              <w:t>UT</w:t>
            </w:r>
          </w:p>
        </w:tc>
        <w:tc>
          <w:tcPr>
            <w:tcW w:w="4319" w:type="dxa"/>
            <w:tcBorders/>
          </w:tcPr>
          <w:p>
            <w:pPr>
              <w:pStyle w:val="Normal"/>
              <w:spacing w:before="0" w:after="0"/>
              <w:rPr/>
            </w:pPr>
            <w:r>
              <w:rPr>
                <w:sz w:val="16"/>
              </w:rPr>
              <w:t>Utah</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Virginia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Vermont</w:t>
            </w:r>
          </w:p>
        </w:tc>
      </w:tr>
      <w:tr>
        <w:trPr/>
        <w:tc>
          <w:tcPr>
            <w:tcW w:w="4320" w:type="dxa"/>
            <w:tcBorders/>
          </w:tcPr>
          <w:p>
            <w:pPr>
              <w:pStyle w:val="Normal"/>
              <w:spacing w:before="0" w:after="0"/>
              <w:rPr/>
            </w:pPr>
            <w:r>
              <w:rPr>
                <w:sz w:val="16"/>
              </w:rPr>
              <w:t>WA</w:t>
            </w:r>
          </w:p>
        </w:tc>
        <w:tc>
          <w:tcPr>
            <w:tcW w:w="4319" w:type="dxa"/>
            <w:tcBorders/>
          </w:tcPr>
          <w:p>
            <w:pPr>
              <w:pStyle w:val="Normal"/>
              <w:spacing w:before="0" w:after="0"/>
              <w:rPr/>
            </w:pPr>
            <w:r>
              <w:rPr>
                <w:sz w:val="16"/>
              </w:rPr>
              <w:t>Washington</w:t>
            </w:r>
          </w:p>
        </w:tc>
      </w:tr>
      <w:tr>
        <w:trPr/>
        <w:tc>
          <w:tcPr>
            <w:tcW w:w="4320" w:type="dxa"/>
            <w:tcBorders/>
          </w:tcPr>
          <w:p>
            <w:pPr>
              <w:pStyle w:val="Normal"/>
              <w:spacing w:before="0" w:after="0"/>
              <w:rPr/>
            </w:pPr>
            <w:r>
              <w:rPr>
                <w:sz w:val="16"/>
              </w:rPr>
              <w:t>WI</w:t>
            </w:r>
          </w:p>
        </w:tc>
        <w:tc>
          <w:tcPr>
            <w:tcW w:w="4319" w:type="dxa"/>
            <w:tcBorders/>
          </w:tcPr>
          <w:p>
            <w:pPr>
              <w:pStyle w:val="Normal"/>
              <w:spacing w:before="0" w:after="0"/>
              <w:rPr/>
            </w:pPr>
            <w:r>
              <w:rPr>
                <w:sz w:val="16"/>
              </w:rPr>
              <w:t>Wisconsin</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West Virginia</w:t>
            </w:r>
          </w:p>
        </w:tc>
      </w:tr>
      <w:tr>
        <w:trPr/>
        <w:tc>
          <w:tcPr>
            <w:tcW w:w="4320" w:type="dxa"/>
            <w:tcBorders/>
          </w:tcPr>
          <w:p>
            <w:pPr>
              <w:pStyle w:val="Normal"/>
              <w:spacing w:before="0" w:after="0"/>
              <w:rPr/>
            </w:pPr>
            <w:r>
              <w:rPr>
                <w:sz w:val="16"/>
              </w:rPr>
              <w:t>WY</w:t>
            </w:r>
          </w:p>
        </w:tc>
        <w:tc>
          <w:tcPr>
            <w:tcW w:w="4319" w:type="dxa"/>
            <w:tcBorders/>
          </w:tcPr>
          <w:p>
            <w:pPr>
              <w:pStyle w:val="Normal"/>
              <w:spacing w:before="0" w:after="0"/>
              <w:rPr/>
            </w:pPr>
            <w:r>
              <w:rPr>
                <w:sz w:val="16"/>
              </w:rPr>
              <w:t>Wyoming</w:t>
            </w:r>
          </w:p>
        </w:tc>
      </w:tr>
    </w:tbl>
    <w:p>
      <w:pPr>
        <w:pStyle w:val="Heading3"/>
        <w:rPr/>
      </w:pPr>
      <w:r>
        <w:t>State aliases and legacy abbreviations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State code</w:t>
            </w:r>
          </w:p>
        </w:tc>
      </w:tr>
      <w:tr>
        <w:trPr/>
        <w:tc>
          <w:tcPr>
            <w:tcW w:w="4320" w:type="dxa"/>
            <w:tcBorders/>
          </w:tcPr>
          <w:p>
            <w:pPr>
              <w:pStyle w:val="Normal"/>
              <w:spacing w:before="0" w:after="0"/>
              <w:rPr/>
            </w:pPr>
            <w:r>
              <w:rPr>
                <w:sz w:val="16"/>
              </w:rPr>
              <w:t>ala</w:t>
            </w:r>
          </w:p>
        </w:tc>
        <w:tc>
          <w:tcPr>
            <w:tcW w:w="4319" w:type="dxa"/>
            <w:tcBorders/>
          </w:tcPr>
          <w:p>
            <w:pPr>
              <w:pStyle w:val="Normal"/>
              <w:spacing w:before="0" w:after="0"/>
              <w:rPr/>
            </w:pPr>
            <w:r>
              <w:rPr>
                <w:sz w:val="16"/>
              </w:rPr>
              <w:t>AL</w:t>
            </w:r>
          </w:p>
        </w:tc>
      </w:tr>
      <w:tr>
        <w:trPr/>
        <w:tc>
          <w:tcPr>
            <w:tcW w:w="4320" w:type="dxa"/>
            <w:tcBorders/>
          </w:tcPr>
          <w:p>
            <w:pPr>
              <w:pStyle w:val="Normal"/>
              <w:spacing w:before="0" w:after="0"/>
              <w:rPr/>
            </w:pPr>
            <w:r>
              <w:rPr>
                <w:sz w:val="16"/>
              </w:rPr>
              <w:t>alaska</w:t>
            </w:r>
          </w:p>
        </w:tc>
        <w:tc>
          <w:tcPr>
            <w:tcW w:w="4319" w:type="dxa"/>
            <w:tcBorders/>
          </w:tcPr>
          <w:p>
            <w:pPr>
              <w:pStyle w:val="Normal"/>
              <w:spacing w:before="0" w:after="0"/>
              <w:rPr/>
            </w:pPr>
            <w:r>
              <w:rPr>
                <w:sz w:val="16"/>
              </w:rPr>
              <w:t>AK</w:t>
            </w:r>
          </w:p>
        </w:tc>
      </w:tr>
      <w:tr>
        <w:trPr/>
        <w:tc>
          <w:tcPr>
            <w:tcW w:w="4320" w:type="dxa"/>
            <w:tcBorders/>
          </w:tcPr>
          <w:p>
            <w:pPr>
              <w:pStyle w:val="Normal"/>
              <w:spacing w:before="0" w:after="0"/>
              <w:rPr/>
            </w:pPr>
            <w:r>
              <w:rPr>
                <w:sz w:val="16"/>
              </w:rPr>
              <w:t>ariz</w:t>
            </w:r>
          </w:p>
        </w:tc>
        <w:tc>
          <w:tcPr>
            <w:tcW w:w="4319" w:type="dxa"/>
            <w:tcBorders/>
          </w:tcPr>
          <w:p>
            <w:pPr>
              <w:pStyle w:val="Normal"/>
              <w:spacing w:before="0" w:after="0"/>
              <w:rPr/>
            </w:pPr>
            <w:r>
              <w:rPr>
                <w:sz w:val="16"/>
              </w:rPr>
              <w:t>AZ</w:t>
            </w:r>
          </w:p>
        </w:tc>
      </w:tr>
      <w:tr>
        <w:trPr/>
        <w:tc>
          <w:tcPr>
            <w:tcW w:w="4320" w:type="dxa"/>
            <w:tcBorders/>
          </w:tcPr>
          <w:p>
            <w:pPr>
              <w:pStyle w:val="Normal"/>
              <w:spacing w:before="0" w:after="0"/>
              <w:rPr/>
            </w:pPr>
            <w:r>
              <w:rPr>
                <w:sz w:val="16"/>
              </w:rPr>
              <w:t>ark</w:t>
            </w:r>
          </w:p>
        </w:tc>
        <w:tc>
          <w:tcPr>
            <w:tcW w:w="4319" w:type="dxa"/>
            <w:tcBorders/>
          </w:tcPr>
          <w:p>
            <w:pPr>
              <w:pStyle w:val="Normal"/>
              <w:spacing w:before="0" w:after="0"/>
              <w:rPr/>
            </w:pPr>
            <w:r>
              <w:rPr>
                <w:sz w:val="16"/>
              </w:rPr>
              <w:t>AR</w:t>
            </w:r>
          </w:p>
        </w:tc>
      </w:tr>
      <w:tr>
        <w:trPr/>
        <w:tc>
          <w:tcPr>
            <w:tcW w:w="4320" w:type="dxa"/>
            <w:tcBorders/>
          </w:tcPr>
          <w:p>
            <w:pPr>
              <w:pStyle w:val="Normal"/>
              <w:spacing w:before="0" w:after="0"/>
              <w:rPr/>
            </w:pPr>
            <w:r>
              <w:rPr>
                <w:sz w:val="16"/>
              </w:rPr>
              <w:t>calif</w:t>
            </w:r>
          </w:p>
        </w:tc>
        <w:tc>
          <w:tcPr>
            <w:tcW w:w="4319" w:type="dxa"/>
            <w:tcBorders/>
          </w:tcPr>
          <w:p>
            <w:pPr>
              <w:pStyle w:val="Normal"/>
              <w:spacing w:before="0" w:after="0"/>
              <w:rPr/>
            </w:pPr>
            <w:r>
              <w:rPr>
                <w:sz w:val="16"/>
              </w:rPr>
              <w:t>CA</w:t>
            </w:r>
          </w:p>
        </w:tc>
      </w:tr>
      <w:tr>
        <w:trPr/>
        <w:tc>
          <w:tcPr>
            <w:tcW w:w="4320" w:type="dxa"/>
            <w:tcBorders/>
          </w:tcPr>
          <w:p>
            <w:pPr>
              <w:pStyle w:val="Normal"/>
              <w:spacing w:before="0" w:after="0"/>
              <w:rPr/>
            </w:pPr>
            <w:r>
              <w:rPr>
                <w:sz w:val="16"/>
              </w:rPr>
              <w:t>colo</w:t>
            </w:r>
          </w:p>
        </w:tc>
        <w:tc>
          <w:tcPr>
            <w:tcW w:w="4319" w:type="dxa"/>
            <w:tcBorders/>
          </w:tcPr>
          <w:p>
            <w:pPr>
              <w:pStyle w:val="Normal"/>
              <w:spacing w:before="0" w:after="0"/>
              <w:rPr/>
            </w:pPr>
            <w:r>
              <w:rPr>
                <w:sz w:val="16"/>
              </w:rPr>
              <w:t>CO</w:t>
            </w:r>
          </w:p>
        </w:tc>
      </w:tr>
      <w:tr>
        <w:trPr/>
        <w:tc>
          <w:tcPr>
            <w:tcW w:w="4320" w:type="dxa"/>
            <w:tcBorders/>
          </w:tcPr>
          <w:p>
            <w:pPr>
              <w:pStyle w:val="Normal"/>
              <w:spacing w:before="0" w:after="0"/>
              <w:rPr/>
            </w:pPr>
            <w:r>
              <w:rPr>
                <w:sz w:val="16"/>
              </w:rPr>
              <w:t>conn</w:t>
            </w:r>
          </w:p>
        </w:tc>
        <w:tc>
          <w:tcPr>
            <w:tcW w:w="4319" w:type="dxa"/>
            <w:tcBorders/>
          </w:tcPr>
          <w:p>
            <w:pPr>
              <w:pStyle w:val="Normal"/>
              <w:spacing w:before="0" w:after="0"/>
              <w:rPr/>
            </w:pPr>
            <w:r>
              <w:rPr>
                <w:sz w:val="16"/>
              </w:rPr>
              <w:t>CT</w:t>
            </w:r>
          </w:p>
        </w:tc>
      </w:tr>
      <w:tr>
        <w:trPr/>
        <w:tc>
          <w:tcPr>
            <w:tcW w:w="4320" w:type="dxa"/>
            <w:tcBorders/>
          </w:tcPr>
          <w:p>
            <w:pPr>
              <w:pStyle w:val="Normal"/>
              <w:spacing w:before="0" w:after="0"/>
              <w:rPr/>
            </w:pPr>
            <w:r>
              <w:rPr>
                <w:sz w:val="16"/>
              </w:rPr>
              <w:t>d 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del</w:t>
            </w:r>
          </w:p>
        </w:tc>
        <w:tc>
          <w:tcPr>
            <w:tcW w:w="4319" w:type="dxa"/>
            <w:tcBorders/>
          </w:tcPr>
          <w:p>
            <w:pPr>
              <w:pStyle w:val="Normal"/>
              <w:spacing w:before="0" w:after="0"/>
              <w:rPr/>
            </w:pPr>
            <w:r>
              <w:rPr>
                <w:sz w:val="16"/>
              </w:rPr>
              <w:t>DE</w:t>
            </w:r>
          </w:p>
        </w:tc>
      </w:tr>
      <w:tr>
        <w:trPr/>
        <w:tc>
          <w:tcPr>
            <w:tcW w:w="4320" w:type="dxa"/>
            <w:tcBorders/>
          </w:tcPr>
          <w:p>
            <w:pPr>
              <w:pStyle w:val="Normal"/>
              <w:spacing w:before="0" w:after="0"/>
              <w:rPr/>
            </w:pPr>
            <w:r>
              <w:rPr>
                <w:sz w:val="16"/>
              </w:rPr>
              <w:t>fla</w:t>
            </w:r>
          </w:p>
        </w:tc>
        <w:tc>
          <w:tcPr>
            <w:tcW w:w="4319" w:type="dxa"/>
            <w:tcBorders/>
          </w:tcPr>
          <w:p>
            <w:pPr>
              <w:pStyle w:val="Normal"/>
              <w:spacing w:before="0" w:after="0"/>
              <w:rPr/>
            </w:pPr>
            <w:r>
              <w:rPr>
                <w:sz w:val="16"/>
              </w:rPr>
              <w:t>FL</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GA</w:t>
            </w:r>
          </w:p>
        </w:tc>
      </w:tr>
      <w:tr>
        <w:trPr/>
        <w:tc>
          <w:tcPr>
            <w:tcW w:w="4320" w:type="dxa"/>
            <w:tcBorders/>
          </w:tcPr>
          <w:p>
            <w:pPr>
              <w:pStyle w:val="Normal"/>
              <w:spacing w:before="0" w:after="0"/>
              <w:rPr/>
            </w:pPr>
            <w:r>
              <w:rPr>
                <w:sz w:val="16"/>
              </w:rPr>
              <w:t>hawaii</w:t>
            </w:r>
          </w:p>
        </w:tc>
        <w:tc>
          <w:tcPr>
            <w:tcW w:w="4319" w:type="dxa"/>
            <w:tcBorders/>
          </w:tcPr>
          <w:p>
            <w:pPr>
              <w:pStyle w:val="Normal"/>
              <w:spacing w:before="0" w:after="0"/>
              <w:rPr/>
            </w:pPr>
            <w:r>
              <w:rPr>
                <w:sz w:val="16"/>
              </w:rPr>
              <w:t>HI</w:t>
            </w:r>
          </w:p>
        </w:tc>
      </w:tr>
      <w:tr>
        <w:trPr/>
        <w:tc>
          <w:tcPr>
            <w:tcW w:w="4320" w:type="dxa"/>
            <w:tcBorders/>
          </w:tcPr>
          <w:p>
            <w:pPr>
              <w:pStyle w:val="Normal"/>
              <w:spacing w:before="0" w:after="0"/>
              <w:rPr/>
            </w:pPr>
            <w:r>
              <w:rPr>
                <w:sz w:val="16"/>
              </w:rPr>
              <w:t>ida</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idaho</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ill</w:t>
            </w:r>
          </w:p>
        </w:tc>
        <w:tc>
          <w:tcPr>
            <w:tcW w:w="4319" w:type="dxa"/>
            <w:tcBorders/>
          </w:tcPr>
          <w:p>
            <w:pPr>
              <w:pStyle w:val="Normal"/>
              <w:spacing w:before="0" w:after="0"/>
              <w:rPr/>
            </w:pPr>
            <w:r>
              <w:rPr>
                <w:sz w:val="16"/>
              </w:rPr>
              <w:t>IL</w:t>
            </w:r>
          </w:p>
        </w:tc>
      </w:tr>
      <w:tr>
        <w:trPr/>
        <w:tc>
          <w:tcPr>
            <w:tcW w:w="4320" w:type="dxa"/>
            <w:tcBorders/>
          </w:tcPr>
          <w:p>
            <w:pPr>
              <w:pStyle w:val="Normal"/>
              <w:spacing w:before="0" w:after="0"/>
              <w:rPr/>
            </w:pPr>
            <w:r>
              <w:rPr>
                <w:sz w:val="16"/>
              </w:rPr>
              <w:t>ind</w:t>
            </w:r>
          </w:p>
        </w:tc>
        <w:tc>
          <w:tcPr>
            <w:tcW w:w="4319" w:type="dxa"/>
            <w:tcBorders/>
          </w:tcPr>
          <w:p>
            <w:pPr>
              <w:pStyle w:val="Normal"/>
              <w:spacing w:before="0" w:after="0"/>
              <w:rPr/>
            </w:pPr>
            <w:r>
              <w:rPr>
                <w:sz w:val="16"/>
              </w:rPr>
              <w:t>IN</w:t>
            </w:r>
          </w:p>
        </w:tc>
      </w:tr>
      <w:tr>
        <w:trPr/>
        <w:tc>
          <w:tcPr>
            <w:tcW w:w="4320" w:type="dxa"/>
            <w:tcBorders/>
          </w:tcPr>
          <w:p>
            <w:pPr>
              <w:pStyle w:val="Normal"/>
              <w:spacing w:before="0" w:after="0"/>
              <w:rPr/>
            </w:pPr>
            <w:r>
              <w:rPr>
                <w:sz w:val="16"/>
              </w:rPr>
              <w:t>iowa</w:t>
            </w:r>
          </w:p>
        </w:tc>
        <w:tc>
          <w:tcPr>
            <w:tcW w:w="4319" w:type="dxa"/>
            <w:tcBorders/>
          </w:tcPr>
          <w:p>
            <w:pPr>
              <w:pStyle w:val="Normal"/>
              <w:spacing w:before="0" w:after="0"/>
              <w:rPr/>
            </w:pPr>
            <w:r>
              <w:rPr>
                <w:sz w:val="16"/>
              </w:rPr>
              <w:t>IA</w:t>
            </w:r>
          </w:p>
        </w:tc>
      </w:tr>
      <w:tr>
        <w:trPr/>
        <w:tc>
          <w:tcPr>
            <w:tcW w:w="4320" w:type="dxa"/>
            <w:tcBorders/>
          </w:tcPr>
          <w:p>
            <w:pPr>
              <w:pStyle w:val="Normal"/>
              <w:spacing w:before="0" w:after="0"/>
              <w:rPr/>
            </w:pPr>
            <w:r>
              <w:rPr>
                <w:sz w:val="16"/>
              </w:rPr>
              <w:t>kans</w:t>
            </w:r>
          </w:p>
        </w:tc>
        <w:tc>
          <w:tcPr>
            <w:tcW w:w="4319" w:type="dxa"/>
            <w:tcBorders/>
          </w:tcPr>
          <w:p>
            <w:pPr>
              <w:pStyle w:val="Normal"/>
              <w:spacing w:before="0" w:after="0"/>
              <w:rPr/>
            </w:pPr>
            <w:r>
              <w:rPr>
                <w:sz w:val="16"/>
              </w:rPr>
              <w:t>KS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LA</w:t>
            </w:r>
          </w:p>
        </w:tc>
      </w:tr>
      <w:tr>
        <w:trPr/>
        <w:tc>
          <w:tcPr>
            <w:tcW w:w="4320" w:type="dxa"/>
            <w:tcBorders/>
          </w:tcPr>
          <w:p>
            <w:pPr>
              <w:pStyle w:val="Normal"/>
              <w:spacing w:before="0" w:after="0"/>
              <w:rPr/>
            </w:pPr>
            <w:r>
              <w:rPr>
                <w:sz w:val="16"/>
              </w:rPr>
              <w:t>maine</w:t>
            </w:r>
          </w:p>
        </w:tc>
        <w:tc>
          <w:tcPr>
            <w:tcW w:w="4319" w:type="dxa"/>
            <w:tcBorders/>
          </w:tcPr>
          <w:p>
            <w:pPr>
              <w:pStyle w:val="Normal"/>
              <w:spacing w:before="0" w:after="0"/>
              <w:rPr/>
            </w:pPr>
            <w:r>
              <w:rPr>
                <w:sz w:val="16"/>
              </w:rPr>
              <w:t>ME</w:t>
            </w:r>
          </w:p>
        </w:tc>
      </w:tr>
      <w:tr>
        <w:trPr/>
        <w:tc>
          <w:tcPr>
            <w:tcW w:w="4320" w:type="dxa"/>
            <w:tcBorders/>
          </w:tcPr>
          <w:p>
            <w:pPr>
              <w:pStyle w:val="Normal"/>
              <w:spacing w:before="0" w:after="0"/>
              <w:rPr/>
            </w:pPr>
            <w:r>
              <w:rPr>
                <w:sz w:val="16"/>
              </w:rPr>
              <w:t>mass</w:t>
            </w:r>
          </w:p>
        </w:tc>
        <w:tc>
          <w:tcPr>
            <w:tcW w:w="4319" w:type="dxa"/>
            <w:tcBorders/>
          </w:tcPr>
          <w:p>
            <w:pPr>
              <w:pStyle w:val="Normal"/>
              <w:spacing w:before="0" w:after="0"/>
              <w:rPr/>
            </w:pPr>
            <w:r>
              <w:rPr>
                <w:sz w:val="16"/>
              </w:rPr>
              <w:t>MA</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MD</w:t>
            </w:r>
          </w:p>
        </w:tc>
      </w:tr>
      <w:tr>
        <w:trPr/>
        <w:tc>
          <w:tcPr>
            <w:tcW w:w="4320" w:type="dxa"/>
            <w:tcBorders/>
          </w:tcPr>
          <w:p>
            <w:pPr>
              <w:pStyle w:val="Normal"/>
              <w:spacing w:before="0" w:after="0"/>
              <w:rPr/>
            </w:pPr>
            <w:r>
              <w:rPr>
                <w:sz w:val="16"/>
              </w:rPr>
              <w:t>mich</w:t>
            </w:r>
          </w:p>
        </w:tc>
        <w:tc>
          <w:tcPr>
            <w:tcW w:w="4319" w:type="dxa"/>
            <w:tcBorders/>
          </w:tcPr>
          <w:p>
            <w:pPr>
              <w:pStyle w:val="Normal"/>
              <w:spacing w:before="0" w:after="0"/>
              <w:rPr/>
            </w:pPr>
            <w:r>
              <w:rPr>
                <w:sz w:val="16"/>
              </w:rPr>
              <w:t>MI</w:t>
            </w:r>
          </w:p>
        </w:tc>
      </w:tr>
      <w:tr>
        <w:trPr/>
        <w:tc>
          <w:tcPr>
            <w:tcW w:w="4320" w:type="dxa"/>
            <w:tcBorders/>
          </w:tcPr>
          <w:p>
            <w:pPr>
              <w:pStyle w:val="Normal"/>
              <w:spacing w:before="0" w:after="0"/>
              <w:rPr/>
            </w:pPr>
            <w:r>
              <w:rPr>
                <w:sz w:val="16"/>
              </w:rPr>
              <w:t>minn</w:t>
            </w:r>
          </w:p>
        </w:tc>
        <w:tc>
          <w:tcPr>
            <w:tcW w:w="4319" w:type="dxa"/>
            <w:tcBorders/>
          </w:tcPr>
          <w:p>
            <w:pPr>
              <w:pStyle w:val="Normal"/>
              <w:spacing w:before="0" w:after="0"/>
              <w:rPr/>
            </w:pPr>
            <w:r>
              <w:rPr>
                <w:sz w:val="16"/>
              </w:rPr>
              <w:t>MN</w:t>
            </w:r>
          </w:p>
        </w:tc>
      </w:tr>
      <w:tr>
        <w:trPr/>
        <w:tc>
          <w:tcPr>
            <w:tcW w:w="4320" w:type="dxa"/>
            <w:tcBorders/>
          </w:tcPr>
          <w:p>
            <w:pPr>
              <w:pStyle w:val="Normal"/>
              <w:spacing w:before="0" w:after="0"/>
              <w:rPr/>
            </w:pPr>
            <w:r>
              <w:rPr>
                <w:sz w:val="16"/>
              </w:rPr>
              <w:t>miss</w:t>
            </w:r>
          </w:p>
        </w:tc>
        <w:tc>
          <w:tcPr>
            <w:tcW w:w="4319" w:type="dxa"/>
            <w:tcBorders/>
          </w:tcPr>
          <w:p>
            <w:pPr>
              <w:pStyle w:val="Normal"/>
              <w:spacing w:before="0" w:after="0"/>
              <w:rPr/>
            </w:pPr>
            <w:r>
              <w:rPr>
                <w:sz w:val="16"/>
              </w:rPr>
              <w:t>MS</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MO</w:t>
            </w:r>
          </w:p>
        </w:tc>
      </w:tr>
      <w:tr>
        <w:trPr/>
        <w:tc>
          <w:tcPr>
            <w:tcW w:w="4320" w:type="dxa"/>
            <w:tcBorders/>
          </w:tcPr>
          <w:p>
            <w:pPr>
              <w:pStyle w:val="Normal"/>
              <w:spacing w:before="0" w:after="0"/>
              <w:rPr/>
            </w:pPr>
            <w:r>
              <w:rPr>
                <w:sz w:val="16"/>
              </w:rPr>
              <w:t>mont</w:t>
            </w:r>
          </w:p>
        </w:tc>
        <w:tc>
          <w:tcPr>
            <w:tcW w:w="4319" w:type="dxa"/>
            <w:tcBorders/>
          </w:tcPr>
          <w:p>
            <w:pPr>
              <w:pStyle w:val="Normal"/>
              <w:spacing w:before="0" w:after="0"/>
              <w:rPr/>
            </w:pPr>
            <w:r>
              <w:rPr>
                <w:sz w:val="16"/>
              </w:rPr>
              <w:t>MT</w:t>
            </w:r>
          </w:p>
        </w:tc>
      </w:tr>
      <w:tr>
        <w:trPr/>
        <w:tc>
          <w:tcPr>
            <w:tcW w:w="4320" w:type="dxa"/>
            <w:tcBorders/>
          </w:tcPr>
          <w:p>
            <w:pPr>
              <w:pStyle w:val="Normal"/>
              <w:spacing w:before="0" w:after="0"/>
              <w:rPr/>
            </w:pPr>
            <w:r>
              <w:rPr>
                <w:sz w:val="16"/>
              </w:rPr>
              <w:t>n 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 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dak</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 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 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mex</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nebr</w:t>
            </w:r>
          </w:p>
        </w:tc>
        <w:tc>
          <w:tcPr>
            <w:tcW w:w="4319" w:type="dxa"/>
            <w:tcBorders/>
          </w:tcPr>
          <w:p>
            <w:pPr>
              <w:pStyle w:val="Normal"/>
              <w:spacing w:before="0" w:after="0"/>
              <w:rPr/>
            </w:pPr>
            <w:r>
              <w:rPr>
                <w:sz w:val="16"/>
              </w:rPr>
              <w:t>NE</w:t>
            </w:r>
          </w:p>
        </w:tc>
      </w:tr>
      <w:tr>
        <w:trPr/>
        <w:tc>
          <w:tcPr>
            <w:tcW w:w="4320" w:type="dxa"/>
            <w:tcBorders/>
          </w:tcPr>
          <w:p>
            <w:pPr>
              <w:pStyle w:val="Normal"/>
              <w:spacing w:before="0" w:after="0"/>
              <w:rPr/>
            </w:pPr>
            <w:r>
              <w:rPr>
                <w:sz w:val="16"/>
              </w:rPr>
              <w:t>nev</w:t>
            </w:r>
          </w:p>
        </w:tc>
        <w:tc>
          <w:tcPr>
            <w:tcW w:w="4319" w:type="dxa"/>
            <w:tcBorders/>
          </w:tcPr>
          <w:p>
            <w:pPr>
              <w:pStyle w:val="Normal"/>
              <w:spacing w:before="0" w:after="0"/>
              <w:rPr/>
            </w:pPr>
            <w:r>
              <w:rPr>
                <w:sz w:val="16"/>
              </w:rPr>
              <w:t>NV</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ohio</w:t>
            </w:r>
          </w:p>
        </w:tc>
        <w:tc>
          <w:tcPr>
            <w:tcW w:w="4319" w:type="dxa"/>
            <w:tcBorders/>
          </w:tcPr>
          <w:p>
            <w:pPr>
              <w:pStyle w:val="Normal"/>
              <w:spacing w:before="0" w:after="0"/>
              <w:rPr/>
            </w:pPr>
            <w:r>
              <w:rPr>
                <w:sz w:val="16"/>
              </w:rPr>
              <w:t>OH</w:t>
            </w:r>
          </w:p>
        </w:tc>
      </w:tr>
      <w:tr>
        <w:trPr/>
        <w:tc>
          <w:tcPr>
            <w:tcW w:w="4320" w:type="dxa"/>
            <w:tcBorders/>
          </w:tcPr>
          <w:p>
            <w:pPr>
              <w:pStyle w:val="Normal"/>
              <w:spacing w:before="0" w:after="0"/>
              <w:rPr/>
            </w:pPr>
            <w:r>
              <w:rPr>
                <w:sz w:val="16"/>
              </w:rPr>
              <w:t>okla</w:t>
            </w:r>
          </w:p>
        </w:tc>
        <w:tc>
          <w:tcPr>
            <w:tcW w:w="4319" w:type="dxa"/>
            <w:tcBorders/>
          </w:tcPr>
          <w:p>
            <w:pPr>
              <w:pStyle w:val="Normal"/>
              <w:spacing w:before="0" w:after="0"/>
              <w:rPr/>
            </w:pPr>
            <w:r>
              <w:rPr>
                <w:sz w:val="16"/>
              </w:rPr>
              <w:t>OK</w:t>
            </w:r>
          </w:p>
        </w:tc>
      </w:tr>
      <w:tr>
        <w:trPr/>
        <w:tc>
          <w:tcPr>
            <w:tcW w:w="4320" w:type="dxa"/>
            <w:tcBorders/>
          </w:tcPr>
          <w:p>
            <w:pPr>
              <w:pStyle w:val="Normal"/>
              <w:spacing w:before="0" w:after="0"/>
              <w:rPr/>
            </w:pPr>
            <w:r>
              <w:rPr>
                <w:sz w:val="16"/>
              </w:rPr>
              <w:t>oreg</w:t>
            </w:r>
          </w:p>
        </w:tc>
        <w:tc>
          <w:tcPr>
            <w:tcW w:w="4319" w:type="dxa"/>
            <w:tcBorders/>
          </w:tcPr>
          <w:p>
            <w:pPr>
              <w:pStyle w:val="Normal"/>
              <w:spacing w:before="0" w:after="0"/>
              <w:rPr/>
            </w:pPr>
            <w:r>
              <w:rPr>
                <w:sz w:val="16"/>
              </w:rPr>
              <w:t>OR</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r 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s 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 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 dak</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tenn</w:t>
            </w:r>
          </w:p>
        </w:tc>
        <w:tc>
          <w:tcPr>
            <w:tcW w:w="4319" w:type="dxa"/>
            <w:tcBorders/>
          </w:tcPr>
          <w:p>
            <w:pPr>
              <w:pStyle w:val="Normal"/>
              <w:spacing w:before="0" w:after="0"/>
              <w:rPr/>
            </w:pPr>
            <w:r>
              <w:rPr>
                <w:sz w:val="16"/>
              </w:rPr>
              <w:t>TN</w:t>
            </w:r>
          </w:p>
        </w:tc>
      </w:tr>
      <w:tr>
        <w:trPr/>
        <w:tc>
          <w:tcPr>
            <w:tcW w:w="4320" w:type="dxa"/>
            <w:tcBorders/>
          </w:tcPr>
          <w:p>
            <w:pPr>
              <w:pStyle w:val="Normal"/>
              <w:spacing w:before="0" w:after="0"/>
              <w:rPr/>
            </w:pPr>
            <w:r>
              <w:rPr>
                <w:sz w:val="16"/>
              </w:rPr>
              <w:t>tex</w:t>
            </w:r>
          </w:p>
        </w:tc>
        <w:tc>
          <w:tcPr>
            <w:tcW w:w="4319" w:type="dxa"/>
            <w:tcBorders/>
          </w:tcPr>
          <w:p>
            <w:pPr>
              <w:pStyle w:val="Normal"/>
              <w:spacing w:before="0" w:after="0"/>
              <w:rPr/>
            </w:pPr>
            <w:r>
              <w:rPr>
                <w:sz w:val="16"/>
              </w:rPr>
              <w:t>TX</w:t>
            </w:r>
          </w:p>
        </w:tc>
      </w:tr>
      <w:tr>
        <w:trPr/>
        <w:tc>
          <w:tcPr>
            <w:tcW w:w="4320" w:type="dxa"/>
            <w:tcBorders/>
          </w:tcPr>
          <w:p>
            <w:pPr>
              <w:pStyle w:val="Normal"/>
              <w:spacing w:before="0" w:after="0"/>
              <w:rPr/>
            </w:pPr>
            <w:r>
              <w:rPr>
                <w:sz w:val="16"/>
              </w:rPr>
              <w:t>utah</w:t>
            </w:r>
          </w:p>
        </w:tc>
        <w:tc>
          <w:tcPr>
            <w:tcW w:w="4319" w:type="dxa"/>
            <w:tcBorders/>
          </w:tcPr>
          <w:p>
            <w:pPr>
              <w:pStyle w:val="Normal"/>
              <w:spacing w:before="0" w:after="0"/>
              <w:rPr/>
            </w:pPr>
            <w:r>
              <w:rPr>
                <w:sz w:val="16"/>
              </w:rPr>
              <w:t>UT</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VT</w:t>
            </w:r>
          </w:p>
        </w:tc>
      </w:tr>
      <w:tr>
        <w:trPr/>
        <w:tc>
          <w:tcPr>
            <w:tcW w:w="4320" w:type="dxa"/>
            <w:tcBorders/>
          </w:tcPr>
          <w:p>
            <w:pPr>
              <w:pStyle w:val="Normal"/>
              <w:spacing w:before="0" w:after="0"/>
              <w:rPr/>
            </w:pPr>
            <w:r>
              <w:rPr>
                <w:sz w:val="16"/>
              </w:rPr>
              <w:t>w va</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 virg</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wash</w:t>
            </w:r>
          </w:p>
        </w:tc>
        <w:tc>
          <w:tcPr>
            <w:tcW w:w="4319" w:type="dxa"/>
            <w:tcBorders/>
          </w:tcPr>
          <w:p>
            <w:pPr>
              <w:pStyle w:val="Normal"/>
              <w:spacing w:before="0" w:after="0"/>
              <w:rPr/>
            </w:pPr>
            <w:r>
              <w:rPr>
                <w:sz w:val="16"/>
              </w:rPr>
              <w:t>WA</w:t>
            </w:r>
          </w:p>
        </w:tc>
      </w:tr>
      <w:tr>
        <w:trPr/>
        <w:tc>
          <w:tcPr>
            <w:tcW w:w="4320" w:type="dxa"/>
            <w:tcBorders/>
          </w:tcPr>
          <w:p>
            <w:pPr>
              <w:pStyle w:val="Normal"/>
              <w:spacing w:before="0" w:after="0"/>
              <w:rPr/>
            </w:pPr>
            <w:r>
              <w:rPr>
                <w:sz w:val="16"/>
              </w:rPr>
              <w:t>wis</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wisc</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wyo</w:t>
            </w:r>
          </w:p>
        </w:tc>
        <w:tc>
          <w:tcPr>
            <w:tcW w:w="4319" w:type="dxa"/>
            <w:tcBorders/>
          </w:tcPr>
          <w:p>
            <w:pPr>
              <w:pStyle w:val="Normal"/>
              <w:spacing w:before="0" w:after="0"/>
              <w:rPr/>
            </w:pPr>
            <w:r>
              <w:rPr>
                <w:sz w:val="16"/>
              </w:rPr>
              <w:t>WY</w:t>
            </w:r>
          </w:p>
        </w:tc>
      </w:tr>
    </w:tbl>
    <w:p>
      <w:pPr>
        <w:pStyle w:val="Heading3"/>
        <w:rPr/>
      </w:pPr>
      <w:r>
        <w:t>Country aliases</w:t>
      </w:r>
    </w:p>
    <w:p>
      <w:pPr>
        <w:pStyle w:val="Normal"/>
        <w:rPr/>
      </w:pPr>
      <w:r>
        <w:t>United States, US, USA, U.S., U.S.A., U S, and U S A normalize to USA for internal processing; United Kingdom, UK, and U K normalize to UK. Australia, India, Japan, South Africa, Jamaica, Egypt, New Zealand, China, and Singapore are included as built-in country search terms.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Canonical country</w:t>
            </w:r>
          </w:p>
        </w:tc>
      </w:tr>
      <w:tr>
        <w:trPr/>
        <w:tc>
          <w:tcPr>
            <w:tcW w:w="4320" w:type="dxa"/>
            <w:tcBorders/>
          </w:tcPr>
          <w:p>
            <w:pPr>
              <w:pStyle w:val="Normal"/>
              <w:spacing w:before="0" w:after="0"/>
              <w:rPr/>
            </w:pPr>
            <w:r>
              <w:rPr>
                <w:sz w:val="16"/>
              </w:rPr>
              <w:t>albania</w:t>
            </w:r>
          </w:p>
        </w:tc>
        <w:tc>
          <w:tcPr>
            <w:tcW w:w="4319" w:type="dxa"/>
            <w:tcBorders/>
          </w:tcPr>
          <w:p>
            <w:pPr>
              <w:pStyle w:val="Normal"/>
              <w:spacing w:before="0" w:after="0"/>
              <w:rPr/>
            </w:pPr>
            <w:r>
              <w:rPr>
                <w:sz w:val="16"/>
              </w:rPr>
              <w:t>Albania</w:t>
            </w:r>
          </w:p>
        </w:tc>
      </w:tr>
      <w:tr>
        <w:trPr/>
        <w:tc>
          <w:tcPr>
            <w:tcW w:w="4320" w:type="dxa"/>
            <w:tcBorders/>
          </w:tcPr>
          <w:p>
            <w:pPr>
              <w:pStyle w:val="Normal"/>
              <w:spacing w:before="0" w:after="0"/>
              <w:rPr/>
            </w:pPr>
            <w:r>
              <w:rPr>
                <w:sz w:val="16"/>
              </w:rPr>
              <w:t>andorra</w:t>
            </w:r>
          </w:p>
        </w:tc>
        <w:tc>
          <w:tcPr>
            <w:tcW w:w="4319" w:type="dxa"/>
            <w:tcBorders/>
          </w:tcPr>
          <w:p>
            <w:pPr>
              <w:pStyle w:val="Normal"/>
              <w:spacing w:before="0" w:after="0"/>
              <w:rPr/>
            </w:pPr>
            <w:r>
              <w:rPr>
                <w:sz w:val="16"/>
              </w:rPr>
              <w:t>Andorra</w:t>
            </w:r>
          </w:p>
        </w:tc>
      </w:tr>
      <w:tr>
        <w:trPr/>
        <w:tc>
          <w:tcPr>
            <w:tcW w:w="4320" w:type="dxa"/>
            <w:tcBorders/>
          </w:tcPr>
          <w:p>
            <w:pPr>
              <w:pStyle w:val="Normal"/>
              <w:spacing w:before="0" w:after="0"/>
              <w:rPr/>
            </w:pPr>
            <w:r>
              <w:rPr>
                <w:sz w:val="16"/>
              </w:rPr>
              <w:t>argentina</w:t>
            </w:r>
          </w:p>
        </w:tc>
        <w:tc>
          <w:tcPr>
            <w:tcW w:w="4319" w:type="dxa"/>
            <w:tcBorders/>
          </w:tcPr>
          <w:p>
            <w:pPr>
              <w:pStyle w:val="Normal"/>
              <w:spacing w:before="0" w:after="0"/>
              <w:rPr/>
            </w:pPr>
            <w:r>
              <w:rPr>
                <w:sz w:val="16"/>
              </w:rPr>
              <w:t>Argentina</w:t>
            </w:r>
          </w:p>
        </w:tc>
      </w:tr>
      <w:tr>
        <w:trPr/>
        <w:tc>
          <w:tcPr>
            <w:tcW w:w="4320" w:type="dxa"/>
            <w:tcBorders/>
          </w:tcPr>
          <w:p>
            <w:pPr>
              <w:pStyle w:val="Normal"/>
              <w:spacing w:before="0" w:after="0"/>
              <w:rPr/>
            </w:pPr>
            <w:r>
              <w:rPr>
                <w:sz w:val="16"/>
              </w:rPr>
              <w:t>austria</w:t>
            </w:r>
          </w:p>
        </w:tc>
        <w:tc>
          <w:tcPr>
            <w:tcW w:w="4319" w:type="dxa"/>
            <w:tcBorders/>
          </w:tcPr>
          <w:p>
            <w:pPr>
              <w:pStyle w:val="Normal"/>
              <w:spacing w:before="0" w:after="0"/>
              <w:rPr/>
            </w:pPr>
            <w:r>
              <w:rPr>
                <w:sz w:val="16"/>
              </w:rPr>
              <w:t>Austria</w:t>
            </w:r>
          </w:p>
        </w:tc>
      </w:tr>
      <w:tr>
        <w:trPr/>
        <w:tc>
          <w:tcPr>
            <w:tcW w:w="4320" w:type="dxa"/>
            <w:tcBorders/>
          </w:tcPr>
          <w:p>
            <w:pPr>
              <w:pStyle w:val="Normal"/>
              <w:spacing w:before="0" w:after="0"/>
              <w:rPr/>
            </w:pPr>
            <w:r>
              <w:rPr>
                <w:sz w:val="16"/>
              </w:rPr>
              <w:t>belarus</w:t>
            </w:r>
          </w:p>
        </w:tc>
        <w:tc>
          <w:tcPr>
            <w:tcW w:w="4319" w:type="dxa"/>
            <w:tcBorders/>
          </w:tcPr>
          <w:p>
            <w:pPr>
              <w:pStyle w:val="Normal"/>
              <w:spacing w:before="0" w:after="0"/>
              <w:rPr/>
            </w:pPr>
            <w:r>
              <w:rPr>
                <w:sz w:val="16"/>
              </w:rPr>
              <w:t>Belarus</w:t>
            </w:r>
          </w:p>
        </w:tc>
      </w:tr>
      <w:tr>
        <w:trPr/>
        <w:tc>
          <w:tcPr>
            <w:tcW w:w="4320" w:type="dxa"/>
            <w:tcBorders/>
          </w:tcPr>
          <w:p>
            <w:pPr>
              <w:pStyle w:val="Normal"/>
              <w:spacing w:before="0" w:after="0"/>
              <w:rPr/>
            </w:pPr>
            <w:r>
              <w:rPr>
                <w:sz w:val="16"/>
              </w:rPr>
              <w:t>belgium</w:t>
            </w:r>
          </w:p>
        </w:tc>
        <w:tc>
          <w:tcPr>
            <w:tcW w:w="4319" w:type="dxa"/>
            <w:tcBorders/>
          </w:tcPr>
          <w:p>
            <w:pPr>
              <w:pStyle w:val="Normal"/>
              <w:spacing w:before="0" w:after="0"/>
              <w:rPr/>
            </w:pPr>
            <w:r>
              <w:rPr>
                <w:sz w:val="16"/>
              </w:rPr>
              <w:t>Belgium</w:t>
            </w:r>
          </w:p>
        </w:tc>
      </w:tr>
      <w:tr>
        <w:trPr/>
        <w:tc>
          <w:tcPr>
            <w:tcW w:w="4320" w:type="dxa"/>
            <w:tcBorders/>
          </w:tcPr>
          <w:p>
            <w:pPr>
              <w:pStyle w:val="Normal"/>
              <w:spacing w:before="0" w:after="0"/>
              <w:rPr/>
            </w:pPr>
            <w:r>
              <w:rPr>
                <w:sz w:val="16"/>
              </w:rPr>
              <w:t>bolivia</w:t>
            </w:r>
          </w:p>
        </w:tc>
        <w:tc>
          <w:tcPr>
            <w:tcW w:w="4319" w:type="dxa"/>
            <w:tcBorders/>
          </w:tcPr>
          <w:p>
            <w:pPr>
              <w:pStyle w:val="Normal"/>
              <w:spacing w:before="0" w:after="0"/>
              <w:rPr/>
            </w:pPr>
            <w:r>
              <w:rPr>
                <w:sz w:val="16"/>
              </w:rPr>
              <w:t>Bolivia</w:t>
            </w:r>
          </w:p>
        </w:tc>
      </w:tr>
      <w:tr>
        <w:trPr/>
        <w:tc>
          <w:tcPr>
            <w:tcW w:w="4320" w:type="dxa"/>
            <w:tcBorders/>
          </w:tcPr>
          <w:p>
            <w:pPr>
              <w:pStyle w:val="Normal"/>
              <w:spacing w:before="0" w:after="0"/>
              <w:rPr/>
            </w:pPr>
            <w:r>
              <w:rPr>
                <w:sz w:val="16"/>
              </w:rPr>
              <w:t>bosnia</w:t>
            </w:r>
          </w:p>
        </w:tc>
        <w:tc>
          <w:tcPr>
            <w:tcW w:w="4319" w:type="dxa"/>
            <w:tcBorders/>
          </w:tcPr>
          <w:p>
            <w:pPr>
              <w:pStyle w:val="Normal"/>
              <w:spacing w:before="0" w:after="0"/>
              <w:rPr/>
            </w:pPr>
            <w:r>
              <w:rPr>
                <w:sz w:val="16"/>
              </w:rPr>
              <w:t>Bosnia</w:t>
            </w:r>
          </w:p>
        </w:tc>
      </w:tr>
      <w:tr>
        <w:trPr/>
        <w:tc>
          <w:tcPr>
            <w:tcW w:w="4320" w:type="dxa"/>
            <w:tcBorders/>
          </w:tcPr>
          <w:p>
            <w:pPr>
              <w:pStyle w:val="Normal"/>
              <w:spacing w:before="0" w:after="0"/>
              <w:rPr/>
            </w:pPr>
            <w:r>
              <w:rPr>
                <w:sz w:val="16"/>
              </w:rPr>
              <w:t>brazil</w:t>
            </w:r>
          </w:p>
        </w:tc>
        <w:tc>
          <w:tcPr>
            <w:tcW w:w="4319" w:type="dxa"/>
            <w:tcBorders/>
          </w:tcPr>
          <w:p>
            <w:pPr>
              <w:pStyle w:val="Normal"/>
              <w:spacing w:before="0" w:after="0"/>
              <w:rPr/>
            </w:pPr>
            <w:r>
              <w:rPr>
                <w:sz w:val="16"/>
              </w:rPr>
              <w:t>Brazil</w:t>
            </w:r>
          </w:p>
        </w:tc>
      </w:tr>
      <w:tr>
        <w:trPr/>
        <w:tc>
          <w:tcPr>
            <w:tcW w:w="4320" w:type="dxa"/>
            <w:tcBorders/>
          </w:tcPr>
          <w:p>
            <w:pPr>
              <w:pStyle w:val="Normal"/>
              <w:spacing w:before="0" w:after="0"/>
              <w:rPr/>
            </w:pPr>
            <w:r>
              <w:rPr>
                <w:sz w:val="16"/>
              </w:rPr>
              <w:t>bulgaria</w:t>
            </w:r>
          </w:p>
        </w:tc>
        <w:tc>
          <w:tcPr>
            <w:tcW w:w="4319" w:type="dxa"/>
            <w:tcBorders/>
          </w:tcPr>
          <w:p>
            <w:pPr>
              <w:pStyle w:val="Normal"/>
              <w:spacing w:before="0" w:after="0"/>
              <w:rPr/>
            </w:pPr>
            <w:r>
              <w:rPr>
                <w:sz w:val="16"/>
              </w:rPr>
              <w:t>Bulgaria</w:t>
            </w:r>
          </w:p>
        </w:tc>
      </w:tr>
      <w:tr>
        <w:trPr/>
        <w:tc>
          <w:tcPr>
            <w:tcW w:w="4320" w:type="dxa"/>
            <w:tcBorders/>
          </w:tcPr>
          <w:p>
            <w:pPr>
              <w:pStyle w:val="Normal"/>
              <w:spacing w:before="0" w:after="0"/>
              <w:rPr/>
            </w:pPr>
            <w:r>
              <w:rPr>
                <w:sz w:val="16"/>
              </w:rPr>
              <w:t>canada</w:t>
            </w:r>
          </w:p>
        </w:tc>
        <w:tc>
          <w:tcPr>
            <w:tcW w:w="4319" w:type="dxa"/>
            <w:tcBorders/>
          </w:tcPr>
          <w:p>
            <w:pPr>
              <w:pStyle w:val="Normal"/>
              <w:spacing w:before="0" w:after="0"/>
              <w:rPr/>
            </w:pPr>
            <w:r>
              <w:rPr>
                <w:sz w:val="16"/>
              </w:rPr>
              <w:t>Canada</w:t>
            </w:r>
          </w:p>
        </w:tc>
      </w:tr>
      <w:tr>
        <w:trPr/>
        <w:tc>
          <w:tcPr>
            <w:tcW w:w="4320" w:type="dxa"/>
            <w:tcBorders/>
          </w:tcPr>
          <w:p>
            <w:pPr>
              <w:pStyle w:val="Normal"/>
              <w:spacing w:before="0" w:after="0"/>
              <w:rPr/>
            </w:pPr>
            <w:r>
              <w:rPr>
                <w:sz w:val="16"/>
              </w:rPr>
              <w:t>chile</w:t>
            </w:r>
          </w:p>
        </w:tc>
        <w:tc>
          <w:tcPr>
            <w:tcW w:w="4319" w:type="dxa"/>
            <w:tcBorders/>
          </w:tcPr>
          <w:p>
            <w:pPr>
              <w:pStyle w:val="Normal"/>
              <w:spacing w:before="0" w:after="0"/>
              <w:rPr/>
            </w:pPr>
            <w:r>
              <w:rPr>
                <w:sz w:val="16"/>
              </w:rPr>
              <w:t>Chile</w:t>
            </w:r>
          </w:p>
        </w:tc>
      </w:tr>
      <w:tr>
        <w:trPr/>
        <w:tc>
          <w:tcPr>
            <w:tcW w:w="4320" w:type="dxa"/>
            <w:tcBorders/>
          </w:tcPr>
          <w:p>
            <w:pPr>
              <w:pStyle w:val="Normal"/>
              <w:spacing w:before="0" w:after="0"/>
              <w:rPr/>
            </w:pPr>
            <w:r>
              <w:rPr>
                <w:sz w:val="16"/>
              </w:rPr>
              <w:t>colombia</w:t>
            </w:r>
          </w:p>
        </w:tc>
        <w:tc>
          <w:tcPr>
            <w:tcW w:w="4319" w:type="dxa"/>
            <w:tcBorders/>
          </w:tcPr>
          <w:p>
            <w:pPr>
              <w:pStyle w:val="Normal"/>
              <w:spacing w:before="0" w:after="0"/>
              <w:rPr/>
            </w:pPr>
            <w:r>
              <w:rPr>
                <w:sz w:val="16"/>
              </w:rPr>
              <w:t>Colombia</w:t>
            </w:r>
          </w:p>
        </w:tc>
      </w:tr>
      <w:tr>
        <w:trPr/>
        <w:tc>
          <w:tcPr>
            <w:tcW w:w="4320" w:type="dxa"/>
            <w:tcBorders/>
          </w:tcPr>
          <w:p>
            <w:pPr>
              <w:pStyle w:val="Normal"/>
              <w:spacing w:before="0" w:after="0"/>
              <w:rPr/>
            </w:pPr>
            <w:r>
              <w:rPr>
                <w:sz w:val="16"/>
              </w:rPr>
              <w:t>croatia</w:t>
            </w:r>
          </w:p>
        </w:tc>
        <w:tc>
          <w:tcPr>
            <w:tcW w:w="4319" w:type="dxa"/>
            <w:tcBorders/>
          </w:tcPr>
          <w:p>
            <w:pPr>
              <w:pStyle w:val="Normal"/>
              <w:spacing w:before="0" w:after="0"/>
              <w:rPr/>
            </w:pPr>
            <w:r>
              <w:rPr>
                <w:sz w:val="16"/>
              </w:rPr>
              <w:t>Croatia</w:t>
            </w:r>
          </w:p>
        </w:tc>
      </w:tr>
      <w:tr>
        <w:trPr/>
        <w:tc>
          <w:tcPr>
            <w:tcW w:w="4320" w:type="dxa"/>
            <w:tcBorders/>
          </w:tcPr>
          <w:p>
            <w:pPr>
              <w:pStyle w:val="Normal"/>
              <w:spacing w:before="0" w:after="0"/>
              <w:rPr/>
            </w:pPr>
            <w:r>
              <w:rPr>
                <w:sz w:val="16"/>
              </w:rPr>
              <w:t>czech republic</w:t>
            </w:r>
          </w:p>
        </w:tc>
        <w:tc>
          <w:tcPr>
            <w:tcW w:w="4319" w:type="dxa"/>
            <w:tcBorders/>
          </w:tcPr>
          <w:p>
            <w:pPr>
              <w:pStyle w:val="Normal"/>
              <w:spacing w:before="0" w:after="0"/>
              <w:rPr/>
            </w:pPr>
            <w:r>
              <w:rPr>
                <w:sz w:val="16"/>
              </w:rPr>
              <w:t>Czech Republic</w:t>
            </w:r>
          </w:p>
        </w:tc>
      </w:tr>
      <w:tr>
        <w:trPr/>
        <w:tc>
          <w:tcPr>
            <w:tcW w:w="4320" w:type="dxa"/>
            <w:tcBorders/>
          </w:tcPr>
          <w:p>
            <w:pPr>
              <w:pStyle w:val="Normal"/>
              <w:spacing w:before="0" w:after="0"/>
              <w:rPr/>
            </w:pPr>
            <w:r>
              <w:rPr>
                <w:sz w:val="16"/>
              </w:rPr>
              <w:t>denmark</w:t>
            </w:r>
          </w:p>
        </w:tc>
        <w:tc>
          <w:tcPr>
            <w:tcW w:w="4319" w:type="dxa"/>
            <w:tcBorders/>
          </w:tcPr>
          <w:p>
            <w:pPr>
              <w:pStyle w:val="Normal"/>
              <w:spacing w:before="0" w:after="0"/>
              <w:rPr/>
            </w:pPr>
            <w:r>
              <w:rPr>
                <w:sz w:val="16"/>
              </w:rPr>
              <w:t>Denmark</w:t>
            </w:r>
          </w:p>
        </w:tc>
      </w:tr>
      <w:tr>
        <w:trPr/>
        <w:tc>
          <w:tcPr>
            <w:tcW w:w="4320" w:type="dxa"/>
            <w:tcBorders/>
          </w:tcPr>
          <w:p>
            <w:pPr>
              <w:pStyle w:val="Normal"/>
              <w:spacing w:before="0" w:after="0"/>
              <w:rPr/>
            </w:pPr>
            <w:r>
              <w:rPr>
                <w:sz w:val="16"/>
              </w:rPr>
              <w:t>ecuador</w:t>
            </w:r>
          </w:p>
        </w:tc>
        <w:tc>
          <w:tcPr>
            <w:tcW w:w="4319" w:type="dxa"/>
            <w:tcBorders/>
          </w:tcPr>
          <w:p>
            <w:pPr>
              <w:pStyle w:val="Normal"/>
              <w:spacing w:before="0" w:after="0"/>
              <w:rPr/>
            </w:pPr>
            <w:r>
              <w:rPr>
                <w:sz w:val="16"/>
              </w:rPr>
              <w:t>Ecuador</w:t>
            </w:r>
          </w:p>
        </w:tc>
      </w:tr>
      <w:tr>
        <w:trPr/>
        <w:tc>
          <w:tcPr>
            <w:tcW w:w="4320" w:type="dxa"/>
            <w:tcBorders/>
          </w:tcPr>
          <w:p>
            <w:pPr>
              <w:pStyle w:val="Normal"/>
              <w:spacing w:before="0" w:after="0"/>
              <w:rPr/>
            </w:pPr>
            <w:r>
              <w:rPr>
                <w:sz w:val="16"/>
              </w:rPr>
              <w:t>england</w:t>
            </w:r>
          </w:p>
        </w:tc>
        <w:tc>
          <w:tcPr>
            <w:tcW w:w="4319" w:type="dxa"/>
            <w:tcBorders/>
          </w:tcPr>
          <w:p>
            <w:pPr>
              <w:pStyle w:val="Normal"/>
              <w:spacing w:before="0" w:after="0"/>
              <w:rPr/>
            </w:pPr>
            <w:r>
              <w:rPr>
                <w:sz w:val="16"/>
              </w:rPr>
              <w:t>England</w:t>
            </w:r>
          </w:p>
        </w:tc>
      </w:tr>
      <w:tr>
        <w:trPr/>
        <w:tc>
          <w:tcPr>
            <w:tcW w:w="4320" w:type="dxa"/>
            <w:tcBorders/>
          </w:tcPr>
          <w:p>
            <w:pPr>
              <w:pStyle w:val="Normal"/>
              <w:spacing w:before="0" w:after="0"/>
              <w:rPr/>
            </w:pPr>
            <w:r>
              <w:rPr>
                <w:sz w:val="16"/>
              </w:rPr>
              <w:t>estonia</w:t>
            </w:r>
          </w:p>
        </w:tc>
        <w:tc>
          <w:tcPr>
            <w:tcW w:w="4319" w:type="dxa"/>
            <w:tcBorders/>
          </w:tcPr>
          <w:p>
            <w:pPr>
              <w:pStyle w:val="Normal"/>
              <w:spacing w:before="0" w:after="0"/>
              <w:rPr/>
            </w:pPr>
            <w:r>
              <w:rPr>
                <w:sz w:val="16"/>
              </w:rPr>
              <w:t>Estonia</w:t>
            </w:r>
          </w:p>
        </w:tc>
      </w:tr>
      <w:tr>
        <w:trPr/>
        <w:tc>
          <w:tcPr>
            <w:tcW w:w="4320" w:type="dxa"/>
            <w:tcBorders/>
          </w:tcPr>
          <w:p>
            <w:pPr>
              <w:pStyle w:val="Normal"/>
              <w:spacing w:before="0" w:after="0"/>
              <w:rPr/>
            </w:pPr>
            <w:r>
              <w:rPr>
                <w:sz w:val="16"/>
              </w:rPr>
              <w:t>finland</w:t>
            </w:r>
          </w:p>
        </w:tc>
        <w:tc>
          <w:tcPr>
            <w:tcW w:w="4319" w:type="dxa"/>
            <w:tcBorders/>
          </w:tcPr>
          <w:p>
            <w:pPr>
              <w:pStyle w:val="Normal"/>
              <w:spacing w:before="0" w:after="0"/>
              <w:rPr/>
            </w:pPr>
            <w:r>
              <w:rPr>
                <w:sz w:val="16"/>
              </w:rPr>
              <w:t>Finland</w:t>
            </w:r>
          </w:p>
        </w:tc>
      </w:tr>
      <w:tr>
        <w:trPr/>
        <w:tc>
          <w:tcPr>
            <w:tcW w:w="4320" w:type="dxa"/>
            <w:tcBorders/>
          </w:tcPr>
          <w:p>
            <w:pPr>
              <w:pStyle w:val="Normal"/>
              <w:spacing w:before="0" w:after="0"/>
              <w:rPr/>
            </w:pPr>
            <w:r>
              <w:rPr>
                <w:sz w:val="16"/>
              </w:rPr>
              <w:t>france</w:t>
            </w:r>
          </w:p>
        </w:tc>
        <w:tc>
          <w:tcPr>
            <w:tcW w:w="4319" w:type="dxa"/>
            <w:tcBorders/>
          </w:tcPr>
          <w:p>
            <w:pPr>
              <w:pStyle w:val="Normal"/>
              <w:spacing w:before="0" w:after="0"/>
              <w:rPr/>
            </w:pPr>
            <w:r>
              <w:rPr>
                <w:sz w:val="16"/>
              </w:rPr>
              <w:t>France</w:t>
            </w:r>
          </w:p>
        </w:tc>
      </w:tr>
      <w:tr>
        <w:trPr/>
        <w:tc>
          <w:tcPr>
            <w:tcW w:w="4320" w:type="dxa"/>
            <w:tcBorders/>
          </w:tcPr>
          <w:p>
            <w:pPr>
              <w:pStyle w:val="Normal"/>
              <w:spacing w:before="0" w:after="0"/>
              <w:rPr/>
            </w:pPr>
            <w:r>
              <w:rPr>
                <w:sz w:val="16"/>
              </w:rPr>
              <w:t>germany</w:t>
            </w:r>
          </w:p>
        </w:tc>
        <w:tc>
          <w:tcPr>
            <w:tcW w:w="4319" w:type="dxa"/>
            <w:tcBorders/>
          </w:tcPr>
          <w:p>
            <w:pPr>
              <w:pStyle w:val="Normal"/>
              <w:spacing w:before="0" w:after="0"/>
              <w:rPr/>
            </w:pPr>
            <w:r>
              <w:rPr>
                <w:sz w:val="16"/>
              </w:rPr>
              <w:t>Germany</w:t>
            </w:r>
          </w:p>
        </w:tc>
      </w:tr>
      <w:tr>
        <w:trPr/>
        <w:tc>
          <w:tcPr>
            <w:tcW w:w="4320" w:type="dxa"/>
            <w:tcBorders/>
          </w:tcPr>
          <w:p>
            <w:pPr>
              <w:pStyle w:val="Normal"/>
              <w:spacing w:before="0" w:after="0"/>
              <w:rPr/>
            </w:pPr>
            <w:r>
              <w:rPr>
                <w:sz w:val="16"/>
              </w:rPr>
              <w:t>greece</w:t>
            </w:r>
          </w:p>
        </w:tc>
        <w:tc>
          <w:tcPr>
            <w:tcW w:w="4319" w:type="dxa"/>
            <w:tcBorders/>
          </w:tcPr>
          <w:p>
            <w:pPr>
              <w:pStyle w:val="Normal"/>
              <w:spacing w:before="0" w:after="0"/>
              <w:rPr/>
            </w:pPr>
            <w:r>
              <w:rPr>
                <w:sz w:val="16"/>
              </w:rPr>
              <w:t>Greece</w:t>
            </w:r>
          </w:p>
        </w:tc>
      </w:tr>
      <w:tr>
        <w:trPr/>
        <w:tc>
          <w:tcPr>
            <w:tcW w:w="4320" w:type="dxa"/>
            <w:tcBorders/>
          </w:tcPr>
          <w:p>
            <w:pPr>
              <w:pStyle w:val="Normal"/>
              <w:spacing w:before="0" w:after="0"/>
              <w:rPr/>
            </w:pPr>
            <w:r>
              <w:rPr>
                <w:sz w:val="16"/>
              </w:rPr>
              <w:t>guyana</w:t>
            </w:r>
          </w:p>
        </w:tc>
        <w:tc>
          <w:tcPr>
            <w:tcW w:w="4319" w:type="dxa"/>
            <w:tcBorders/>
          </w:tcPr>
          <w:p>
            <w:pPr>
              <w:pStyle w:val="Normal"/>
              <w:spacing w:before="0" w:after="0"/>
              <w:rPr/>
            </w:pPr>
            <w:r>
              <w:rPr>
                <w:sz w:val="16"/>
              </w:rPr>
              <w:t>Guyana</w:t>
            </w:r>
          </w:p>
        </w:tc>
      </w:tr>
      <w:tr>
        <w:trPr/>
        <w:tc>
          <w:tcPr>
            <w:tcW w:w="4320" w:type="dxa"/>
            <w:tcBorders/>
          </w:tcPr>
          <w:p>
            <w:pPr>
              <w:pStyle w:val="Normal"/>
              <w:spacing w:before="0" w:after="0"/>
              <w:rPr/>
            </w:pPr>
            <w:r>
              <w:rPr>
                <w:sz w:val="16"/>
              </w:rPr>
              <w:t>herzegovina</w:t>
            </w:r>
          </w:p>
        </w:tc>
        <w:tc>
          <w:tcPr>
            <w:tcW w:w="4319" w:type="dxa"/>
            <w:tcBorders/>
          </w:tcPr>
          <w:p>
            <w:pPr>
              <w:pStyle w:val="Normal"/>
              <w:spacing w:before="0" w:after="0"/>
              <w:rPr/>
            </w:pPr>
            <w:r>
              <w:rPr>
                <w:sz w:val="16"/>
              </w:rPr>
              <w:t>Herzegovina</w:t>
            </w:r>
          </w:p>
        </w:tc>
      </w:tr>
      <w:tr>
        <w:trPr/>
        <w:tc>
          <w:tcPr>
            <w:tcW w:w="4320" w:type="dxa"/>
            <w:tcBorders/>
          </w:tcPr>
          <w:p>
            <w:pPr>
              <w:pStyle w:val="Normal"/>
              <w:spacing w:before="0" w:after="0"/>
              <w:rPr/>
            </w:pPr>
            <w:r>
              <w:rPr>
                <w:sz w:val="16"/>
              </w:rPr>
              <w:t>hungary</w:t>
            </w:r>
          </w:p>
        </w:tc>
        <w:tc>
          <w:tcPr>
            <w:tcW w:w="4319" w:type="dxa"/>
            <w:tcBorders/>
          </w:tcPr>
          <w:p>
            <w:pPr>
              <w:pStyle w:val="Normal"/>
              <w:spacing w:before="0" w:after="0"/>
              <w:rPr/>
            </w:pPr>
            <w:r>
              <w:rPr>
                <w:sz w:val="16"/>
              </w:rPr>
              <w:t>Hungary</w:t>
            </w:r>
          </w:p>
        </w:tc>
      </w:tr>
      <w:tr>
        <w:trPr/>
        <w:tc>
          <w:tcPr>
            <w:tcW w:w="4320" w:type="dxa"/>
            <w:tcBorders/>
          </w:tcPr>
          <w:p>
            <w:pPr>
              <w:pStyle w:val="Normal"/>
              <w:spacing w:before="0" w:after="0"/>
              <w:rPr/>
            </w:pPr>
            <w:r>
              <w:rPr>
                <w:sz w:val="16"/>
              </w:rPr>
              <w:t>iceland</w:t>
            </w:r>
          </w:p>
        </w:tc>
        <w:tc>
          <w:tcPr>
            <w:tcW w:w="4319" w:type="dxa"/>
            <w:tcBorders/>
          </w:tcPr>
          <w:p>
            <w:pPr>
              <w:pStyle w:val="Normal"/>
              <w:spacing w:before="0" w:after="0"/>
              <w:rPr/>
            </w:pPr>
            <w:r>
              <w:rPr>
                <w:sz w:val="16"/>
              </w:rPr>
              <w:t>Iceland</w:t>
            </w:r>
          </w:p>
        </w:tc>
      </w:tr>
      <w:tr>
        <w:trPr/>
        <w:tc>
          <w:tcPr>
            <w:tcW w:w="4320" w:type="dxa"/>
            <w:tcBorders/>
          </w:tcPr>
          <w:p>
            <w:pPr>
              <w:pStyle w:val="Normal"/>
              <w:spacing w:before="0" w:after="0"/>
              <w:rPr/>
            </w:pPr>
            <w:r>
              <w:rPr>
                <w:sz w:val="16"/>
              </w:rPr>
              <w:t>ireland</w:t>
            </w:r>
          </w:p>
        </w:tc>
        <w:tc>
          <w:tcPr>
            <w:tcW w:w="4319" w:type="dxa"/>
            <w:tcBorders/>
          </w:tcPr>
          <w:p>
            <w:pPr>
              <w:pStyle w:val="Normal"/>
              <w:spacing w:before="0" w:after="0"/>
              <w:rPr/>
            </w:pPr>
            <w:r>
              <w:rPr>
                <w:sz w:val="16"/>
              </w:rPr>
              <w:t>Ireland</w:t>
            </w:r>
          </w:p>
        </w:tc>
      </w:tr>
      <w:tr>
        <w:trPr/>
        <w:tc>
          <w:tcPr>
            <w:tcW w:w="4320" w:type="dxa"/>
            <w:tcBorders/>
          </w:tcPr>
          <w:p>
            <w:pPr>
              <w:pStyle w:val="Normal"/>
              <w:spacing w:before="0" w:after="0"/>
              <w:rPr/>
            </w:pPr>
            <w:r>
              <w:rPr>
                <w:sz w:val="16"/>
              </w:rPr>
              <w:t>italy</w:t>
            </w:r>
          </w:p>
        </w:tc>
        <w:tc>
          <w:tcPr>
            <w:tcW w:w="4319" w:type="dxa"/>
            <w:tcBorders/>
          </w:tcPr>
          <w:p>
            <w:pPr>
              <w:pStyle w:val="Normal"/>
              <w:spacing w:before="0" w:after="0"/>
              <w:rPr/>
            </w:pPr>
            <w:r>
              <w:rPr>
                <w:sz w:val="16"/>
              </w:rPr>
              <w:t>Italy</w:t>
            </w:r>
          </w:p>
        </w:tc>
      </w:tr>
      <w:tr>
        <w:trPr/>
        <w:tc>
          <w:tcPr>
            <w:tcW w:w="4320" w:type="dxa"/>
            <w:tcBorders/>
          </w:tcPr>
          <w:p>
            <w:pPr>
              <w:pStyle w:val="Normal"/>
              <w:spacing w:before="0" w:after="0"/>
              <w:rPr/>
            </w:pPr>
            <w:r>
              <w:rPr>
                <w:sz w:val="16"/>
              </w:rPr>
              <w:t>kosovo</w:t>
            </w:r>
          </w:p>
        </w:tc>
        <w:tc>
          <w:tcPr>
            <w:tcW w:w="4319" w:type="dxa"/>
            <w:tcBorders/>
          </w:tcPr>
          <w:p>
            <w:pPr>
              <w:pStyle w:val="Normal"/>
              <w:spacing w:before="0" w:after="0"/>
              <w:rPr/>
            </w:pPr>
            <w:r>
              <w:rPr>
                <w:sz w:val="16"/>
              </w:rPr>
              <w:t>Kosovo</w:t>
            </w:r>
          </w:p>
        </w:tc>
      </w:tr>
      <w:tr>
        <w:trPr/>
        <w:tc>
          <w:tcPr>
            <w:tcW w:w="4320" w:type="dxa"/>
            <w:tcBorders/>
          </w:tcPr>
          <w:p>
            <w:pPr>
              <w:pStyle w:val="Normal"/>
              <w:spacing w:before="0" w:after="0"/>
              <w:rPr/>
            </w:pPr>
            <w:r>
              <w:rPr>
                <w:sz w:val="16"/>
              </w:rPr>
              <w:t>latvia</w:t>
            </w:r>
          </w:p>
        </w:tc>
        <w:tc>
          <w:tcPr>
            <w:tcW w:w="4319" w:type="dxa"/>
            <w:tcBorders/>
          </w:tcPr>
          <w:p>
            <w:pPr>
              <w:pStyle w:val="Normal"/>
              <w:spacing w:before="0" w:after="0"/>
              <w:rPr/>
            </w:pPr>
            <w:r>
              <w:rPr>
                <w:sz w:val="16"/>
              </w:rPr>
              <w:t>Latvia</w:t>
            </w:r>
          </w:p>
        </w:tc>
      </w:tr>
      <w:tr>
        <w:trPr/>
        <w:tc>
          <w:tcPr>
            <w:tcW w:w="4320" w:type="dxa"/>
            <w:tcBorders/>
          </w:tcPr>
          <w:p>
            <w:pPr>
              <w:pStyle w:val="Normal"/>
              <w:spacing w:before="0" w:after="0"/>
              <w:rPr/>
            </w:pPr>
            <w:r>
              <w:rPr>
                <w:sz w:val="16"/>
              </w:rPr>
              <w:t>liechtenstein</w:t>
            </w:r>
          </w:p>
        </w:tc>
        <w:tc>
          <w:tcPr>
            <w:tcW w:w="4319" w:type="dxa"/>
            <w:tcBorders/>
          </w:tcPr>
          <w:p>
            <w:pPr>
              <w:pStyle w:val="Normal"/>
              <w:spacing w:before="0" w:after="0"/>
              <w:rPr/>
            </w:pPr>
            <w:r>
              <w:rPr>
                <w:sz w:val="16"/>
              </w:rPr>
              <w:t>Liechtenstein</w:t>
            </w:r>
          </w:p>
        </w:tc>
      </w:tr>
      <w:tr>
        <w:trPr/>
        <w:tc>
          <w:tcPr>
            <w:tcW w:w="4320" w:type="dxa"/>
            <w:tcBorders/>
          </w:tcPr>
          <w:p>
            <w:pPr>
              <w:pStyle w:val="Normal"/>
              <w:spacing w:before="0" w:after="0"/>
              <w:rPr/>
            </w:pPr>
            <w:r>
              <w:rPr>
                <w:sz w:val="16"/>
              </w:rPr>
              <w:t>lithuania</w:t>
            </w:r>
          </w:p>
        </w:tc>
        <w:tc>
          <w:tcPr>
            <w:tcW w:w="4319" w:type="dxa"/>
            <w:tcBorders/>
          </w:tcPr>
          <w:p>
            <w:pPr>
              <w:pStyle w:val="Normal"/>
              <w:spacing w:before="0" w:after="0"/>
              <w:rPr/>
            </w:pPr>
            <w:r>
              <w:rPr>
                <w:sz w:val="16"/>
              </w:rPr>
              <w:t>Lithuania</w:t>
            </w:r>
          </w:p>
        </w:tc>
      </w:tr>
      <w:tr>
        <w:trPr/>
        <w:tc>
          <w:tcPr>
            <w:tcW w:w="4320" w:type="dxa"/>
            <w:tcBorders/>
          </w:tcPr>
          <w:p>
            <w:pPr>
              <w:pStyle w:val="Normal"/>
              <w:spacing w:before="0" w:after="0"/>
              <w:rPr/>
            </w:pPr>
            <w:r>
              <w:rPr>
                <w:sz w:val="16"/>
              </w:rPr>
              <w:t>luxembourg</w:t>
            </w:r>
          </w:p>
        </w:tc>
        <w:tc>
          <w:tcPr>
            <w:tcW w:w="4319" w:type="dxa"/>
            <w:tcBorders/>
          </w:tcPr>
          <w:p>
            <w:pPr>
              <w:pStyle w:val="Normal"/>
              <w:spacing w:before="0" w:after="0"/>
              <w:rPr/>
            </w:pPr>
            <w:r>
              <w:rPr>
                <w:sz w:val="16"/>
              </w:rPr>
              <w:t>Luxembourg</w:t>
            </w:r>
          </w:p>
        </w:tc>
      </w:tr>
      <w:tr>
        <w:trPr/>
        <w:tc>
          <w:tcPr>
            <w:tcW w:w="4320" w:type="dxa"/>
            <w:tcBorders/>
          </w:tcPr>
          <w:p>
            <w:pPr>
              <w:pStyle w:val="Normal"/>
              <w:spacing w:before="0" w:after="0"/>
              <w:rPr/>
            </w:pPr>
            <w:r>
              <w:rPr>
                <w:sz w:val="16"/>
              </w:rPr>
              <w:t>malta</w:t>
            </w:r>
          </w:p>
        </w:tc>
        <w:tc>
          <w:tcPr>
            <w:tcW w:w="4319" w:type="dxa"/>
            <w:tcBorders/>
          </w:tcPr>
          <w:p>
            <w:pPr>
              <w:pStyle w:val="Normal"/>
              <w:spacing w:before="0" w:after="0"/>
              <w:rPr/>
            </w:pPr>
            <w:r>
              <w:rPr>
                <w:sz w:val="16"/>
              </w:rPr>
              <w:t>Malta</w:t>
            </w:r>
          </w:p>
        </w:tc>
      </w:tr>
      <w:tr>
        <w:trPr/>
        <w:tc>
          <w:tcPr>
            <w:tcW w:w="4320" w:type="dxa"/>
            <w:tcBorders/>
          </w:tcPr>
          <w:p>
            <w:pPr>
              <w:pStyle w:val="Normal"/>
              <w:spacing w:before="0" w:after="0"/>
              <w:rPr/>
            </w:pPr>
            <w:r>
              <w:rPr>
                <w:sz w:val="16"/>
              </w:rPr>
              <w:t>mexico</w:t>
            </w:r>
          </w:p>
        </w:tc>
        <w:tc>
          <w:tcPr>
            <w:tcW w:w="4319" w:type="dxa"/>
            <w:tcBorders/>
          </w:tcPr>
          <w:p>
            <w:pPr>
              <w:pStyle w:val="Normal"/>
              <w:spacing w:before="0" w:after="0"/>
              <w:rPr/>
            </w:pPr>
            <w:r>
              <w:rPr>
                <w:sz w:val="16"/>
              </w:rPr>
              <w:t>Mexico</w:t>
            </w:r>
          </w:p>
        </w:tc>
      </w:tr>
      <w:tr>
        <w:trPr/>
        <w:tc>
          <w:tcPr>
            <w:tcW w:w="4320" w:type="dxa"/>
            <w:tcBorders/>
          </w:tcPr>
          <w:p>
            <w:pPr>
              <w:pStyle w:val="Normal"/>
              <w:spacing w:before="0" w:after="0"/>
              <w:rPr/>
            </w:pPr>
            <w:r>
              <w:rPr>
                <w:sz w:val="16"/>
              </w:rPr>
              <w:t>moldova</w:t>
            </w:r>
          </w:p>
        </w:tc>
        <w:tc>
          <w:tcPr>
            <w:tcW w:w="4319" w:type="dxa"/>
            <w:tcBorders/>
          </w:tcPr>
          <w:p>
            <w:pPr>
              <w:pStyle w:val="Normal"/>
              <w:spacing w:before="0" w:after="0"/>
              <w:rPr/>
            </w:pPr>
            <w:r>
              <w:rPr>
                <w:sz w:val="16"/>
              </w:rPr>
              <w:t>Moldova</w:t>
            </w:r>
          </w:p>
        </w:tc>
      </w:tr>
      <w:tr>
        <w:trPr/>
        <w:tc>
          <w:tcPr>
            <w:tcW w:w="4320" w:type="dxa"/>
            <w:tcBorders/>
          </w:tcPr>
          <w:p>
            <w:pPr>
              <w:pStyle w:val="Normal"/>
              <w:spacing w:before="0" w:after="0"/>
              <w:rPr/>
            </w:pPr>
            <w:r>
              <w:rPr>
                <w:sz w:val="16"/>
              </w:rPr>
              <w:t>monaco</w:t>
            </w:r>
          </w:p>
        </w:tc>
        <w:tc>
          <w:tcPr>
            <w:tcW w:w="4319" w:type="dxa"/>
            <w:tcBorders/>
          </w:tcPr>
          <w:p>
            <w:pPr>
              <w:pStyle w:val="Normal"/>
              <w:spacing w:before="0" w:after="0"/>
              <w:rPr/>
            </w:pPr>
            <w:r>
              <w:rPr>
                <w:sz w:val="16"/>
              </w:rPr>
              <w:t>Monaco</w:t>
            </w:r>
          </w:p>
        </w:tc>
      </w:tr>
      <w:tr>
        <w:trPr/>
        <w:tc>
          <w:tcPr>
            <w:tcW w:w="4320" w:type="dxa"/>
            <w:tcBorders/>
          </w:tcPr>
          <w:p>
            <w:pPr>
              <w:pStyle w:val="Normal"/>
              <w:spacing w:before="0" w:after="0"/>
              <w:rPr/>
            </w:pPr>
            <w:r>
              <w:rPr>
                <w:sz w:val="16"/>
              </w:rPr>
              <w:t>montenegro</w:t>
            </w:r>
          </w:p>
        </w:tc>
        <w:tc>
          <w:tcPr>
            <w:tcW w:w="4319" w:type="dxa"/>
            <w:tcBorders/>
          </w:tcPr>
          <w:p>
            <w:pPr>
              <w:pStyle w:val="Normal"/>
              <w:spacing w:before="0" w:after="0"/>
              <w:rPr/>
            </w:pPr>
            <w:r>
              <w:rPr>
                <w:sz w:val="16"/>
              </w:rPr>
              <w:t>Montenegro</w:t>
            </w:r>
          </w:p>
        </w:tc>
      </w:tr>
      <w:tr>
        <w:trPr/>
        <w:tc>
          <w:tcPr>
            <w:tcW w:w="4320" w:type="dxa"/>
            <w:tcBorders/>
          </w:tcPr>
          <w:p>
            <w:pPr>
              <w:pStyle w:val="Normal"/>
              <w:spacing w:before="0" w:after="0"/>
              <w:rPr/>
            </w:pPr>
            <w:r>
              <w:rPr>
                <w:sz w:val="16"/>
              </w:rPr>
              <w:t>netherlands</w:t>
            </w:r>
          </w:p>
        </w:tc>
        <w:tc>
          <w:tcPr>
            <w:tcW w:w="4319" w:type="dxa"/>
            <w:tcBorders/>
          </w:tcPr>
          <w:p>
            <w:pPr>
              <w:pStyle w:val="Normal"/>
              <w:spacing w:before="0" w:after="0"/>
              <w:rPr/>
            </w:pPr>
            <w:r>
              <w:rPr>
                <w:sz w:val="16"/>
              </w:rPr>
              <w:t>Netherlands</w:t>
            </w:r>
          </w:p>
        </w:tc>
      </w:tr>
      <w:tr>
        <w:trPr/>
        <w:tc>
          <w:tcPr>
            <w:tcW w:w="4320" w:type="dxa"/>
            <w:tcBorders/>
          </w:tcPr>
          <w:p>
            <w:pPr>
              <w:pStyle w:val="Normal"/>
              <w:spacing w:before="0" w:after="0"/>
              <w:rPr/>
            </w:pPr>
            <w:r>
              <w:rPr>
                <w:sz w:val="16"/>
              </w:rPr>
              <w:t>north macedonia</w:t>
            </w:r>
          </w:p>
        </w:tc>
        <w:tc>
          <w:tcPr>
            <w:tcW w:w="4319" w:type="dxa"/>
            <w:tcBorders/>
          </w:tcPr>
          <w:p>
            <w:pPr>
              <w:pStyle w:val="Normal"/>
              <w:spacing w:before="0" w:after="0"/>
              <w:rPr/>
            </w:pPr>
            <w:r>
              <w:rPr>
                <w:sz w:val="16"/>
              </w:rPr>
              <w:t>North Macedonia</w:t>
            </w:r>
          </w:p>
        </w:tc>
      </w:tr>
      <w:tr>
        <w:trPr/>
        <w:tc>
          <w:tcPr>
            <w:tcW w:w="4320" w:type="dxa"/>
            <w:tcBorders/>
          </w:tcPr>
          <w:p>
            <w:pPr>
              <w:pStyle w:val="Normal"/>
              <w:spacing w:before="0" w:after="0"/>
              <w:rPr/>
            </w:pPr>
            <w:r>
              <w:rPr>
                <w:sz w:val="16"/>
              </w:rPr>
              <w:t>norway</w:t>
            </w:r>
          </w:p>
        </w:tc>
        <w:tc>
          <w:tcPr>
            <w:tcW w:w="4319" w:type="dxa"/>
            <w:tcBorders/>
          </w:tcPr>
          <w:p>
            <w:pPr>
              <w:pStyle w:val="Normal"/>
              <w:spacing w:before="0" w:after="0"/>
              <w:rPr/>
            </w:pPr>
            <w:r>
              <w:rPr>
                <w:sz w:val="16"/>
              </w:rPr>
              <w:t>Norway</w:t>
            </w:r>
          </w:p>
        </w:tc>
      </w:tr>
      <w:tr>
        <w:trPr/>
        <w:tc>
          <w:tcPr>
            <w:tcW w:w="4320" w:type="dxa"/>
            <w:tcBorders/>
          </w:tcPr>
          <w:p>
            <w:pPr>
              <w:pStyle w:val="Normal"/>
              <w:spacing w:before="0" w:after="0"/>
              <w:rPr/>
            </w:pPr>
            <w:r>
              <w:rPr>
                <w:sz w:val="16"/>
              </w:rPr>
              <w:t>panama</w:t>
            </w:r>
          </w:p>
        </w:tc>
        <w:tc>
          <w:tcPr>
            <w:tcW w:w="4319" w:type="dxa"/>
            <w:tcBorders/>
          </w:tcPr>
          <w:p>
            <w:pPr>
              <w:pStyle w:val="Normal"/>
              <w:spacing w:before="0" w:after="0"/>
              <w:rPr/>
            </w:pPr>
            <w:r>
              <w:rPr>
                <w:sz w:val="16"/>
              </w:rPr>
              <w:t>Panama</w:t>
            </w:r>
          </w:p>
        </w:tc>
      </w:tr>
      <w:tr>
        <w:trPr/>
        <w:tc>
          <w:tcPr>
            <w:tcW w:w="4320" w:type="dxa"/>
            <w:tcBorders/>
          </w:tcPr>
          <w:p>
            <w:pPr>
              <w:pStyle w:val="Normal"/>
              <w:spacing w:before="0" w:after="0"/>
              <w:rPr/>
            </w:pPr>
            <w:r>
              <w:rPr>
                <w:sz w:val="16"/>
              </w:rPr>
              <w:t>paraguay</w:t>
            </w:r>
          </w:p>
        </w:tc>
        <w:tc>
          <w:tcPr>
            <w:tcW w:w="4319" w:type="dxa"/>
            <w:tcBorders/>
          </w:tcPr>
          <w:p>
            <w:pPr>
              <w:pStyle w:val="Normal"/>
              <w:spacing w:before="0" w:after="0"/>
              <w:rPr/>
            </w:pPr>
            <w:r>
              <w:rPr>
                <w:sz w:val="16"/>
              </w:rPr>
              <w:t>Paraguay</w:t>
            </w:r>
          </w:p>
        </w:tc>
      </w:tr>
      <w:tr>
        <w:trPr/>
        <w:tc>
          <w:tcPr>
            <w:tcW w:w="4320" w:type="dxa"/>
            <w:tcBorders/>
          </w:tcPr>
          <w:p>
            <w:pPr>
              <w:pStyle w:val="Normal"/>
              <w:spacing w:before="0" w:after="0"/>
              <w:rPr/>
            </w:pPr>
            <w:r>
              <w:rPr>
                <w:sz w:val="16"/>
              </w:rPr>
              <w:t>peru</w:t>
            </w:r>
          </w:p>
        </w:tc>
        <w:tc>
          <w:tcPr>
            <w:tcW w:w="4319" w:type="dxa"/>
            <w:tcBorders/>
          </w:tcPr>
          <w:p>
            <w:pPr>
              <w:pStyle w:val="Normal"/>
              <w:spacing w:before="0" w:after="0"/>
              <w:rPr/>
            </w:pPr>
            <w:r>
              <w:rPr>
                <w:sz w:val="16"/>
              </w:rPr>
              <w:t>Peru</w:t>
            </w:r>
          </w:p>
        </w:tc>
      </w:tr>
      <w:tr>
        <w:trPr/>
        <w:tc>
          <w:tcPr>
            <w:tcW w:w="4320" w:type="dxa"/>
            <w:tcBorders/>
          </w:tcPr>
          <w:p>
            <w:pPr>
              <w:pStyle w:val="Normal"/>
              <w:spacing w:before="0" w:after="0"/>
              <w:rPr/>
            </w:pPr>
            <w:r>
              <w:rPr>
                <w:sz w:val="16"/>
              </w:rPr>
              <w:t>poland</w:t>
            </w:r>
          </w:p>
        </w:tc>
        <w:tc>
          <w:tcPr>
            <w:tcW w:w="4319" w:type="dxa"/>
            <w:tcBorders/>
          </w:tcPr>
          <w:p>
            <w:pPr>
              <w:pStyle w:val="Normal"/>
              <w:spacing w:before="0" w:after="0"/>
              <w:rPr/>
            </w:pPr>
            <w:r>
              <w:rPr>
                <w:sz w:val="16"/>
              </w:rPr>
              <w:t>Poland</w:t>
            </w:r>
          </w:p>
        </w:tc>
      </w:tr>
      <w:tr>
        <w:trPr/>
        <w:tc>
          <w:tcPr>
            <w:tcW w:w="4320" w:type="dxa"/>
            <w:tcBorders/>
          </w:tcPr>
          <w:p>
            <w:pPr>
              <w:pStyle w:val="Normal"/>
              <w:spacing w:before="0" w:after="0"/>
              <w:rPr/>
            </w:pPr>
            <w:r>
              <w:rPr>
                <w:sz w:val="16"/>
              </w:rPr>
              <w:t>portugal</w:t>
            </w:r>
          </w:p>
        </w:tc>
        <w:tc>
          <w:tcPr>
            <w:tcW w:w="4319" w:type="dxa"/>
            <w:tcBorders/>
          </w:tcPr>
          <w:p>
            <w:pPr>
              <w:pStyle w:val="Normal"/>
              <w:spacing w:before="0" w:after="0"/>
              <w:rPr/>
            </w:pPr>
            <w:r>
              <w:rPr>
                <w:sz w:val="16"/>
              </w:rPr>
              <w:t>Portugal</w:t>
            </w:r>
          </w:p>
        </w:tc>
      </w:tr>
      <w:tr>
        <w:trPr/>
        <w:tc>
          <w:tcPr>
            <w:tcW w:w="4320" w:type="dxa"/>
            <w:tcBorders/>
          </w:tcPr>
          <w:p>
            <w:pPr>
              <w:pStyle w:val="Normal"/>
              <w:spacing w:before="0" w:after="0"/>
              <w:rPr/>
            </w:pPr>
            <w:r>
              <w:rPr>
                <w:sz w:val="16"/>
              </w:rPr>
              <w:t>romania</w:t>
            </w:r>
          </w:p>
        </w:tc>
        <w:tc>
          <w:tcPr>
            <w:tcW w:w="4319" w:type="dxa"/>
            <w:tcBorders/>
          </w:tcPr>
          <w:p>
            <w:pPr>
              <w:pStyle w:val="Normal"/>
              <w:spacing w:before="0" w:after="0"/>
              <w:rPr/>
            </w:pPr>
            <w:r>
              <w:rPr>
                <w:sz w:val="16"/>
              </w:rPr>
              <w:t>Romania</w:t>
            </w:r>
          </w:p>
        </w:tc>
      </w:tr>
      <w:tr>
        <w:trPr/>
        <w:tc>
          <w:tcPr>
            <w:tcW w:w="4320" w:type="dxa"/>
            <w:tcBorders/>
          </w:tcPr>
          <w:p>
            <w:pPr>
              <w:pStyle w:val="Normal"/>
              <w:spacing w:before="0" w:after="0"/>
              <w:rPr/>
            </w:pPr>
            <w:r>
              <w:rPr>
                <w:sz w:val="16"/>
              </w:rPr>
              <w:t>russia</w:t>
            </w:r>
          </w:p>
        </w:tc>
        <w:tc>
          <w:tcPr>
            <w:tcW w:w="4319" w:type="dxa"/>
            <w:tcBorders/>
          </w:tcPr>
          <w:p>
            <w:pPr>
              <w:pStyle w:val="Normal"/>
              <w:spacing w:before="0" w:after="0"/>
              <w:rPr/>
            </w:pPr>
            <w:r>
              <w:rPr>
                <w:sz w:val="16"/>
              </w:rPr>
              <w:t>Russia</w:t>
            </w:r>
          </w:p>
        </w:tc>
      </w:tr>
      <w:tr>
        <w:trPr/>
        <w:tc>
          <w:tcPr>
            <w:tcW w:w="4320" w:type="dxa"/>
            <w:tcBorders/>
          </w:tcPr>
          <w:p>
            <w:pPr>
              <w:pStyle w:val="Normal"/>
              <w:spacing w:before="0" w:after="0"/>
              <w:rPr/>
            </w:pPr>
            <w:r>
              <w:rPr>
                <w:sz w:val="16"/>
              </w:rPr>
              <w:t>san marino</w:t>
            </w:r>
          </w:p>
        </w:tc>
        <w:tc>
          <w:tcPr>
            <w:tcW w:w="4319" w:type="dxa"/>
            <w:tcBorders/>
          </w:tcPr>
          <w:p>
            <w:pPr>
              <w:pStyle w:val="Normal"/>
              <w:spacing w:before="0" w:after="0"/>
              <w:rPr/>
            </w:pPr>
            <w:r>
              <w:rPr>
                <w:sz w:val="16"/>
              </w:rPr>
              <w:t>San Marino</w:t>
            </w:r>
          </w:p>
        </w:tc>
      </w:tr>
      <w:tr>
        <w:trPr/>
        <w:tc>
          <w:tcPr>
            <w:tcW w:w="4320" w:type="dxa"/>
            <w:tcBorders/>
          </w:tcPr>
          <w:p>
            <w:pPr>
              <w:pStyle w:val="Normal"/>
              <w:spacing w:before="0" w:after="0"/>
              <w:rPr/>
            </w:pPr>
            <w:r>
              <w:rPr>
                <w:sz w:val="16"/>
              </w:rPr>
              <w:t>serbia</w:t>
            </w:r>
          </w:p>
        </w:tc>
        <w:tc>
          <w:tcPr>
            <w:tcW w:w="4319" w:type="dxa"/>
            <w:tcBorders/>
          </w:tcPr>
          <w:p>
            <w:pPr>
              <w:pStyle w:val="Normal"/>
              <w:spacing w:before="0" w:after="0"/>
              <w:rPr/>
            </w:pPr>
            <w:r>
              <w:rPr>
                <w:sz w:val="16"/>
              </w:rPr>
              <w:t>Serbia</w:t>
            </w:r>
          </w:p>
        </w:tc>
      </w:tr>
      <w:tr>
        <w:trPr/>
        <w:tc>
          <w:tcPr>
            <w:tcW w:w="4320" w:type="dxa"/>
            <w:tcBorders/>
          </w:tcPr>
          <w:p>
            <w:pPr>
              <w:pStyle w:val="Normal"/>
              <w:spacing w:before="0" w:after="0"/>
              <w:rPr/>
            </w:pPr>
            <w:r>
              <w:rPr>
                <w:sz w:val="16"/>
              </w:rPr>
              <w:t>slovakia</w:t>
            </w:r>
          </w:p>
        </w:tc>
        <w:tc>
          <w:tcPr>
            <w:tcW w:w="4319" w:type="dxa"/>
            <w:tcBorders/>
          </w:tcPr>
          <w:p>
            <w:pPr>
              <w:pStyle w:val="Normal"/>
              <w:spacing w:before="0" w:after="0"/>
              <w:rPr/>
            </w:pPr>
            <w:r>
              <w:rPr>
                <w:sz w:val="16"/>
              </w:rPr>
              <w:t>Slovakia</w:t>
            </w:r>
          </w:p>
        </w:tc>
      </w:tr>
      <w:tr>
        <w:trPr/>
        <w:tc>
          <w:tcPr>
            <w:tcW w:w="4320" w:type="dxa"/>
            <w:tcBorders/>
          </w:tcPr>
          <w:p>
            <w:pPr>
              <w:pStyle w:val="Normal"/>
              <w:spacing w:before="0" w:after="0"/>
              <w:rPr/>
            </w:pPr>
            <w:r>
              <w:rPr>
                <w:sz w:val="16"/>
              </w:rPr>
              <w:t>slovenia</w:t>
            </w:r>
          </w:p>
        </w:tc>
        <w:tc>
          <w:tcPr>
            <w:tcW w:w="4319" w:type="dxa"/>
            <w:tcBorders/>
          </w:tcPr>
          <w:p>
            <w:pPr>
              <w:pStyle w:val="Normal"/>
              <w:spacing w:before="0" w:after="0"/>
              <w:rPr/>
            </w:pPr>
            <w:r>
              <w:rPr>
                <w:sz w:val="16"/>
              </w:rPr>
              <w:t>Slovenia</w:t>
            </w:r>
          </w:p>
        </w:tc>
      </w:tr>
      <w:tr>
        <w:trPr/>
        <w:tc>
          <w:tcPr>
            <w:tcW w:w="4320" w:type="dxa"/>
            <w:tcBorders/>
          </w:tcPr>
          <w:p>
            <w:pPr>
              <w:pStyle w:val="Normal"/>
              <w:spacing w:before="0" w:after="0"/>
              <w:rPr/>
            </w:pPr>
            <w:r>
              <w:rPr>
                <w:sz w:val="16"/>
              </w:rPr>
              <w:t>spain</w:t>
            </w:r>
          </w:p>
        </w:tc>
        <w:tc>
          <w:tcPr>
            <w:tcW w:w="4319" w:type="dxa"/>
            <w:tcBorders/>
          </w:tcPr>
          <w:p>
            <w:pPr>
              <w:pStyle w:val="Normal"/>
              <w:spacing w:before="0" w:after="0"/>
              <w:rPr/>
            </w:pPr>
            <w:r>
              <w:rPr>
                <w:sz w:val="16"/>
              </w:rPr>
              <w:t>Spain</w:t>
            </w:r>
          </w:p>
        </w:tc>
      </w:tr>
      <w:tr>
        <w:trPr/>
        <w:tc>
          <w:tcPr>
            <w:tcW w:w="4320" w:type="dxa"/>
            <w:tcBorders/>
          </w:tcPr>
          <w:p>
            <w:pPr>
              <w:pStyle w:val="Normal"/>
              <w:spacing w:before="0" w:after="0"/>
              <w:rPr/>
            </w:pPr>
            <w:r>
              <w:rPr>
                <w:sz w:val="16"/>
              </w:rPr>
              <w:t>suriname</w:t>
            </w:r>
          </w:p>
        </w:tc>
        <w:tc>
          <w:tcPr>
            <w:tcW w:w="4319" w:type="dxa"/>
            <w:tcBorders/>
          </w:tcPr>
          <w:p>
            <w:pPr>
              <w:pStyle w:val="Normal"/>
              <w:spacing w:before="0" w:after="0"/>
              <w:rPr/>
            </w:pPr>
            <w:r>
              <w:rPr>
                <w:sz w:val="16"/>
              </w:rPr>
              <w:t>Suriname</w:t>
            </w:r>
          </w:p>
        </w:tc>
      </w:tr>
      <w:tr>
        <w:trPr/>
        <w:tc>
          <w:tcPr>
            <w:tcW w:w="4320" w:type="dxa"/>
            <w:tcBorders/>
          </w:tcPr>
          <w:p>
            <w:pPr>
              <w:pStyle w:val="Normal"/>
              <w:spacing w:before="0" w:after="0"/>
              <w:rPr/>
            </w:pPr>
            <w:r>
              <w:rPr>
                <w:sz w:val="16"/>
              </w:rPr>
              <w:t>sweden</w:t>
            </w:r>
          </w:p>
        </w:tc>
        <w:tc>
          <w:tcPr>
            <w:tcW w:w="4319" w:type="dxa"/>
            <w:tcBorders/>
          </w:tcPr>
          <w:p>
            <w:pPr>
              <w:pStyle w:val="Normal"/>
              <w:spacing w:before="0" w:after="0"/>
              <w:rPr/>
            </w:pPr>
            <w:r>
              <w:rPr>
                <w:sz w:val="16"/>
              </w:rPr>
              <w:t>Sweden</w:t>
            </w:r>
          </w:p>
        </w:tc>
      </w:tr>
      <w:tr>
        <w:trPr/>
        <w:tc>
          <w:tcPr>
            <w:tcW w:w="4320" w:type="dxa"/>
            <w:tcBorders/>
          </w:tcPr>
          <w:p>
            <w:pPr>
              <w:pStyle w:val="Normal"/>
              <w:spacing w:before="0" w:after="0"/>
              <w:rPr/>
            </w:pPr>
            <w:r>
              <w:rPr>
                <w:sz w:val="16"/>
              </w:rPr>
              <w:t>switzerland</w:t>
            </w:r>
          </w:p>
        </w:tc>
        <w:tc>
          <w:tcPr>
            <w:tcW w:w="4319" w:type="dxa"/>
            <w:tcBorders/>
          </w:tcPr>
          <w:p>
            <w:pPr>
              <w:pStyle w:val="Normal"/>
              <w:spacing w:before="0" w:after="0"/>
              <w:rPr/>
            </w:pPr>
            <w:r>
              <w:rPr>
                <w:sz w:val="16"/>
              </w:rPr>
              <w:t>Switzerland</w:t>
            </w:r>
          </w:p>
        </w:tc>
      </w:tr>
      <w:tr>
        <w:trPr/>
        <w:tc>
          <w:tcPr>
            <w:tcW w:w="4320" w:type="dxa"/>
            <w:tcBorders/>
          </w:tcPr>
          <w:p>
            <w:pPr>
              <w:pStyle w:val="Normal"/>
              <w:spacing w:before="0" w:after="0"/>
              <w:rPr/>
            </w:pPr>
            <w:r>
              <w:rPr>
                <w:sz w:val="16"/>
              </w:rPr>
              <w:t>u 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 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 s 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ukraine</w:t>
            </w:r>
          </w:p>
        </w:tc>
        <w:tc>
          <w:tcPr>
            <w:tcW w:w="4319" w:type="dxa"/>
            <w:tcBorders/>
          </w:tcPr>
          <w:p>
            <w:pPr>
              <w:pStyle w:val="Normal"/>
              <w:spacing w:before="0" w:after="0"/>
              <w:rPr/>
            </w:pPr>
            <w:r>
              <w:rPr>
                <w:sz w:val="16"/>
              </w:rPr>
              <w:t>Ukraine</w:t>
            </w:r>
          </w:p>
        </w:tc>
      </w:tr>
      <w:tr>
        <w:trPr/>
        <w:tc>
          <w:tcPr>
            <w:tcW w:w="4320" w:type="dxa"/>
            <w:tcBorders/>
          </w:tcPr>
          <w:p>
            <w:pPr>
              <w:pStyle w:val="Normal"/>
              <w:spacing w:before="0" w:after="0"/>
              <w:rPr/>
            </w:pPr>
            <w:r>
              <w:rPr>
                <w:sz w:val="16"/>
              </w:rPr>
              <w:t>united kingdom</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united states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uruguay</w:t>
            </w:r>
          </w:p>
        </w:tc>
        <w:tc>
          <w:tcPr>
            <w:tcW w:w="4319" w:type="dxa"/>
            <w:tcBorders/>
          </w:tcPr>
          <w:p>
            <w:pPr>
              <w:pStyle w:val="Normal"/>
              <w:spacing w:before="0" w:after="0"/>
              <w:rPr/>
            </w:pPr>
            <w:r>
              <w:rPr>
                <w:sz w:val="16"/>
              </w:rPr>
              <w:t>Uruguay</w:t>
            </w:r>
          </w:p>
        </w:tc>
      </w:tr>
      <w:tr>
        <w:trPr/>
        <w:tc>
          <w:tcPr>
            <w:tcW w:w="4320" w:type="dxa"/>
            <w:tcBorders/>
          </w:tcPr>
          <w:p>
            <w:pPr>
              <w:pStyle w:val="Normal"/>
              <w:spacing w:before="0" w:after="0"/>
              <w:rPr/>
            </w:pPr>
            <w:r>
              <w:rPr>
                <w:sz w:val="16"/>
              </w:rPr>
              <w:t>us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usa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vatican city</w:t>
            </w:r>
          </w:p>
        </w:tc>
        <w:tc>
          <w:tcPr>
            <w:tcW w:w="4319" w:type="dxa"/>
            <w:tcBorders/>
          </w:tcPr>
          <w:p>
            <w:pPr>
              <w:pStyle w:val="Normal"/>
              <w:spacing w:before="0" w:after="0"/>
              <w:rPr/>
            </w:pPr>
            <w:r>
              <w:rPr>
                <w:sz w:val="16"/>
              </w:rPr>
              <w:t>Vatican City</w:t>
            </w:r>
          </w:p>
        </w:tc>
      </w:tr>
      <w:tr>
        <w:trPr/>
        <w:tc>
          <w:tcPr>
            <w:tcW w:w="4320" w:type="dxa"/>
            <w:tcBorders/>
          </w:tcPr>
          <w:p>
            <w:pPr>
              <w:pStyle w:val="Normal"/>
              <w:spacing w:before="0" w:after="0"/>
              <w:rPr/>
            </w:pPr>
            <w:r>
              <w:rPr>
                <w:sz w:val="16"/>
              </w:rPr>
              <w:t>venezuela</w:t>
            </w:r>
          </w:p>
        </w:tc>
        <w:tc>
          <w:tcPr>
            <w:tcW w:w="4319" w:type="dxa"/>
            <w:tcBorders/>
          </w:tcPr>
          <w:p>
            <w:pPr>
              <w:pStyle w:val="Normal"/>
              <w:spacing w:before="0" w:after="0"/>
              <w:rPr/>
            </w:pPr>
            <w:r>
              <w:rPr>
                <w:sz w:val="16"/>
              </w:rPr>
              <w:t>Venezuela</w:t>
            </w:r>
          </w:p>
        </w:tc>
      </w:tr>
      <w:tr>
        <w:trPr/>
        <w:tc>
          <w:tcPr>
            <w:tcW w:w="4320" w:type="dxa"/>
            <w:tcBorders/>
          </w:tcPr>
          <w:p>
            <w:pPr>
              <w:pStyle w:val="Normal"/>
              <w:widowControl/>
              <w:bidi w:val="0"/>
              <w:spacing w:lineRule="auto" w:line="276" w:before="0" w:after="200"/>
              <w:jc w:val="left"/>
              <w:rPr/>
            </w:pPr>
            <w:r>
              <w:rPr/>
              <w:t>australia</w:t>
            </w:r>
          </w:p>
        </w:tc>
        <w:tc>
          <w:tcPr>
            <w:tcW w:w="4319" w:type="dxa"/>
            <w:tcBorders/>
          </w:tcPr>
          <w:p>
            <w:pPr>
              <w:pStyle w:val="Normal"/>
              <w:widowControl/>
              <w:bidi w:val="0"/>
              <w:spacing w:lineRule="auto" w:line="276" w:before="0" w:after="200"/>
              <w:jc w:val="left"/>
              <w:rPr/>
            </w:pPr>
            <w:r>
              <w:rPr/>
              <w:t>Australia</w:t>
            </w:r>
          </w:p>
        </w:tc>
      </w:tr>
      <w:tr>
        <w:trPr/>
        <w:tc>
          <w:tcPr>
            <w:tcW w:w="4320" w:type="dxa"/>
            <w:tcBorders/>
          </w:tcPr>
          <w:p>
            <w:pPr>
              <w:pStyle w:val="Normal"/>
              <w:widowControl/>
              <w:bidi w:val="0"/>
              <w:spacing w:lineRule="auto" w:line="276" w:before="0" w:after="200"/>
              <w:jc w:val="left"/>
              <w:rPr/>
            </w:pPr>
            <w:r>
              <w:rPr/>
              <w:t>u.s.</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u.s.a.</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china</w:t>
            </w:r>
          </w:p>
        </w:tc>
        <w:tc>
          <w:tcPr>
            <w:tcW w:w="4319" w:type="dxa"/>
            <w:tcBorders/>
          </w:tcPr>
          <w:p>
            <w:pPr>
              <w:pStyle w:val="Normal"/>
              <w:widowControl/>
              <w:bidi w:val="0"/>
              <w:spacing w:lineRule="auto" w:line="276" w:before="0" w:after="200"/>
              <w:jc w:val="left"/>
              <w:rPr/>
            </w:pPr>
            <w:r>
              <w:rPr/>
              <w:t>China</w:t>
            </w:r>
          </w:p>
        </w:tc>
      </w:tr>
      <w:tr>
        <w:trPr/>
        <w:tc>
          <w:tcPr>
            <w:tcW w:w="4320" w:type="dxa"/>
            <w:tcBorders/>
          </w:tcPr>
          <w:p>
            <w:pPr>
              <w:pStyle w:val="Normal"/>
              <w:widowControl/>
              <w:bidi w:val="0"/>
              <w:spacing w:lineRule="auto" w:line="276" w:before="0" w:after="200"/>
              <w:jc w:val="left"/>
              <w:rPr/>
            </w:pPr>
            <w:r>
              <w:rPr/>
              <w:t>egypt</w:t>
            </w:r>
          </w:p>
        </w:tc>
        <w:tc>
          <w:tcPr>
            <w:tcW w:w="4319" w:type="dxa"/>
            <w:tcBorders/>
          </w:tcPr>
          <w:p>
            <w:pPr>
              <w:pStyle w:val="Normal"/>
              <w:widowControl/>
              <w:bidi w:val="0"/>
              <w:spacing w:lineRule="auto" w:line="276" w:before="0" w:after="200"/>
              <w:jc w:val="left"/>
              <w:rPr/>
            </w:pPr>
            <w:r>
              <w:rPr/>
              <w:t>Egypt</w:t>
            </w:r>
          </w:p>
        </w:tc>
      </w:tr>
      <w:tr>
        <w:trPr/>
        <w:tc>
          <w:tcPr>
            <w:tcW w:w="4320" w:type="dxa"/>
            <w:tcBorders/>
          </w:tcPr>
          <w:p>
            <w:pPr>
              <w:pStyle w:val="Normal"/>
              <w:widowControl/>
              <w:bidi w:val="0"/>
              <w:spacing w:lineRule="auto" w:line="276" w:before="0" w:after="200"/>
              <w:jc w:val="left"/>
              <w:rPr/>
            </w:pPr>
            <w:r>
              <w:rPr/>
              <w:t>india</w:t>
            </w:r>
          </w:p>
        </w:tc>
        <w:tc>
          <w:tcPr>
            <w:tcW w:w="4319" w:type="dxa"/>
            <w:tcBorders/>
          </w:tcPr>
          <w:p>
            <w:pPr>
              <w:pStyle w:val="Normal"/>
              <w:widowControl/>
              <w:bidi w:val="0"/>
              <w:spacing w:lineRule="auto" w:line="276" w:before="0" w:after="200"/>
              <w:jc w:val="left"/>
              <w:rPr/>
            </w:pPr>
            <w:r>
              <w:rPr/>
              <w:t>India</w:t>
            </w:r>
          </w:p>
        </w:tc>
      </w:tr>
      <w:tr>
        <w:trPr/>
        <w:tc>
          <w:tcPr>
            <w:tcW w:w="4320" w:type="dxa"/>
            <w:tcBorders/>
          </w:tcPr>
          <w:p>
            <w:pPr>
              <w:pStyle w:val="Normal"/>
              <w:widowControl/>
              <w:bidi w:val="0"/>
              <w:spacing w:lineRule="auto" w:line="276" w:before="0" w:after="200"/>
              <w:jc w:val="left"/>
              <w:rPr/>
            </w:pPr>
            <w:r>
              <w:rPr/>
              <w:t>jamaica</w:t>
            </w:r>
          </w:p>
        </w:tc>
        <w:tc>
          <w:tcPr>
            <w:tcW w:w="4319" w:type="dxa"/>
            <w:tcBorders/>
          </w:tcPr>
          <w:p>
            <w:pPr>
              <w:pStyle w:val="Normal"/>
              <w:widowControl/>
              <w:bidi w:val="0"/>
              <w:spacing w:lineRule="auto" w:line="276" w:before="0" w:after="200"/>
              <w:jc w:val="left"/>
              <w:rPr/>
            </w:pPr>
            <w:r>
              <w:rPr/>
              <w:t>Jamaica</w:t>
            </w:r>
          </w:p>
        </w:tc>
      </w:tr>
      <w:tr>
        <w:trPr/>
        <w:tc>
          <w:tcPr>
            <w:tcW w:w="4320" w:type="dxa"/>
            <w:tcBorders/>
          </w:tcPr>
          <w:p>
            <w:pPr>
              <w:pStyle w:val="Normal"/>
              <w:widowControl/>
              <w:bidi w:val="0"/>
              <w:spacing w:lineRule="auto" w:line="276" w:before="0" w:after="200"/>
              <w:jc w:val="left"/>
              <w:rPr/>
            </w:pPr>
            <w:r>
              <w:rPr/>
              <w:t>japan</w:t>
            </w:r>
          </w:p>
        </w:tc>
        <w:tc>
          <w:tcPr>
            <w:tcW w:w="4319" w:type="dxa"/>
            <w:tcBorders/>
          </w:tcPr>
          <w:p>
            <w:pPr>
              <w:pStyle w:val="Normal"/>
              <w:widowControl/>
              <w:bidi w:val="0"/>
              <w:spacing w:lineRule="auto" w:line="276" w:before="0" w:after="200"/>
              <w:jc w:val="left"/>
              <w:rPr/>
            </w:pPr>
            <w:r>
              <w:rPr/>
              <w:t>Japan</w:t>
            </w:r>
          </w:p>
        </w:tc>
      </w:tr>
      <w:tr>
        <w:trPr/>
        <w:tc>
          <w:tcPr>
            <w:tcW w:w="4320" w:type="dxa"/>
            <w:tcBorders/>
          </w:tcPr>
          <w:p>
            <w:pPr>
              <w:pStyle w:val="Normal"/>
              <w:widowControl/>
              <w:bidi w:val="0"/>
              <w:spacing w:lineRule="auto" w:line="276" w:before="0" w:after="200"/>
              <w:jc w:val="left"/>
              <w:rPr/>
            </w:pPr>
            <w:r>
              <w:rPr/>
              <w:t>new zealand</w:t>
            </w:r>
          </w:p>
        </w:tc>
        <w:tc>
          <w:tcPr>
            <w:tcW w:w="4319" w:type="dxa"/>
            <w:tcBorders/>
          </w:tcPr>
          <w:p>
            <w:pPr>
              <w:pStyle w:val="Normal"/>
              <w:widowControl/>
              <w:bidi w:val="0"/>
              <w:spacing w:lineRule="auto" w:line="276" w:before="0" w:after="200"/>
              <w:jc w:val="left"/>
              <w:rPr/>
            </w:pPr>
            <w:r>
              <w:rPr/>
              <w:t>New Zealand</w:t>
            </w:r>
          </w:p>
        </w:tc>
      </w:tr>
      <w:tr>
        <w:trPr/>
        <w:tc>
          <w:tcPr>
            <w:tcW w:w="4320" w:type="dxa"/>
            <w:tcBorders/>
          </w:tcPr>
          <w:p>
            <w:pPr>
              <w:pStyle w:val="Normal"/>
              <w:widowControl/>
              <w:bidi w:val="0"/>
              <w:spacing w:lineRule="auto" w:line="276" w:before="0" w:after="200"/>
              <w:jc w:val="left"/>
              <w:rPr/>
            </w:pPr>
            <w:r>
              <w:rPr/>
              <w:t>singapore</w:t>
            </w:r>
          </w:p>
        </w:tc>
        <w:tc>
          <w:tcPr>
            <w:tcW w:w="4319" w:type="dxa"/>
            <w:tcBorders/>
          </w:tcPr>
          <w:p>
            <w:pPr>
              <w:pStyle w:val="Normal"/>
              <w:widowControl/>
              <w:bidi w:val="0"/>
              <w:spacing w:lineRule="auto" w:line="276" w:before="0" w:after="200"/>
              <w:jc w:val="left"/>
              <w:rPr/>
            </w:pPr>
            <w:r>
              <w:rPr/>
              <w:t>Singapore</w:t>
            </w:r>
          </w:p>
        </w:tc>
      </w:tr>
      <w:tr>
        <w:trPr/>
        <w:tc>
          <w:tcPr>
            <w:tcW w:w="4320" w:type="dxa"/>
            <w:tcBorders/>
          </w:tcPr>
          <w:p>
            <w:pPr>
              <w:pStyle w:val="Normal"/>
              <w:widowControl/>
              <w:bidi w:val="0"/>
              <w:spacing w:lineRule="auto" w:line="276" w:before="0" w:after="200"/>
              <w:jc w:val="left"/>
              <w:rPr/>
            </w:pPr>
            <w:r>
              <w:rPr/>
              <w:t>south africa</w:t>
            </w:r>
          </w:p>
        </w:tc>
        <w:tc>
          <w:tcPr>
            <w:tcW w:w="4319" w:type="dxa"/>
            <w:tcBorders/>
          </w:tcPr>
          <w:p>
            <w:pPr>
              <w:pStyle w:val="Normal"/>
              <w:widowControl/>
              <w:bidi w:val="0"/>
              <w:spacing w:lineRule="auto" w:line="276" w:before="0" w:after="200"/>
              <w:jc w:val="left"/>
              <w:rPr/>
            </w:pPr>
            <w:r>
              <w:rPr/>
              <w:t>South Africa</w:t>
            </w:r>
          </w:p>
        </w:tc>
      </w:tr>
    </w:tbl>
    <w:p>
      <w:pPr>
        <w:pStyle w:val="Heading3"/>
        <w:rPr/>
      </w:pPr>
      <w:r>
        <w:t>Country search terms</w:t>
      </w:r>
    </w:p>
    <w:p>
      <w:pPr>
        <w:pStyle w:val="Normal"/>
        <w:rPr/>
      </w:pPr>
      <w:r>
        <w:t>North Macedonia, Czech Republic, United Kingdom, Liechtenstein, United States, Vatican City, Herzegovina, Netherlands, Switzerland, Luxembourg, Montenegro, New Zealand, San Marino, South Africa, Argentina, Australia, Lithuania, Venezuela, Bulgaria, Colombia, Jamaica, Paraguay, Portugal, Slovakia, Slovenia, Suriname, Albania, Andorra, Austria, Belarus, Belgium, Bolivia, Croatia, Denmark, Ecuador, England, Estonia, Finland, Germany, Hungary, Iceland, Ireland, Moldova, Romania, Singapore, Ukraine, Uruguay, Bosnia, Brazil, Canada, France, Greece, Guyana, India, Japan, Kosovo, Latvia, Mexico, Monaco, Norway, Panama, Poland, Russia, Serbia, Sweden, Chile, China, Egypt, Italy, Malta, Spain, U.S.A., U S A, Peru, U.S., U K, U S, USA, UK, US</w:t>
      </w:r>
    </w:p>
    <w:p>
      <w:pPr>
        <w:pStyle w:val="Heading3"/>
        <w:rPr/>
      </w:pPr>
      <w:r>
        <w:t>Ambiguous state codes requiring stricter matching</w:t>
      </w:r>
    </w:p>
    <w:p>
      <w:pPr>
        <w:pStyle w:val="Normal"/>
        <w:rPr/>
      </w:pPr>
      <w:r>
        <w:t>HI, IN, MA, OH, OK, OR</w:t>
      </w:r>
    </w:p>
    <w:p>
      <w:pPr>
        <w:pStyle w:val="Heading3"/>
        <w:rPr/>
      </w:pPr>
      <w:r>
        <w:t>Lowercase state codes treated as common/noisy in some contexts</w:t>
      </w:r>
    </w:p>
    <w:p>
      <w:pPr>
        <w:pStyle w:val="Normal"/>
        <w:rPr/>
      </w:pPr>
      <w:r>
        <w:t>CO, DE, HI, ID, IN, LA, MA, ME, MO, OH, OK, OR, PA</w:t>
      </w:r>
    </w:p>
    <w:p>
      <w:pPr>
        <w:pStyle w:val="Heading3"/>
        <w:rPr/>
      </w:pPr>
      <w:r>
        <w:t>Los Angeles shorthand guard</w:t>
      </w:r>
    </w:p>
    <w:p>
      <w:pPr>
        <w:pStyle w:val="Normal"/>
        <w:rPr/>
      </w:pPr>
      <w:r>
        <w:t>Setlist metadata location parsing treats LA and L.A. as Los Angeles only when explicit California evidence immediately follows. Terminal or trailing LA remains the Louisiana state abbreviation. Two-letter state/region abbreviations in free text are case-sensitive, so ME is a state code but Me in ordinary text is not. A narrow comma-delimited exception permits a safe non-ambiguous mixed-case two-letter U.S. state code when it is the complete final token of a City,StateCode location; therefore Santa Cruz,Ca resolves to Santa Cruz CA. Ambiguous/common-word mixed-case codes remain rejected. A trailing state/region must end the location expression, so The Georgia Satellites cannot be parsed as City The, State GA.</w:t>
      </w:r>
    </w:p>
    <w:p>
      <w:pPr>
        <w:pStyle w:val="Heading3"/>
        <w:rPr/>
      </w:pPr>
      <w:r>
        <w:t>Full state-name anchors</w:t>
      </w:r>
    </w:p>
    <w:p>
      <w:pPr>
        <w:pStyle w:val="Normal"/>
        <w:rPr/>
      </w:pPr>
      <w:r>
        <w:t>Path String2 parsing and setlist header parsing accept full U.S. state names, including multi-word state names, as state/location anchors and normalize them to two-letter state codes. They also accept city + state/province/region + country combinations. U.S. country aliases such as USA, U.S., and U.S.A. must not force USA into the show-name location; the normalized state code is used instead. Non-U.S. country combinations may retain a region/province plus country when supplied.</w:t>
      </w:r>
    </w:p>
    <w:p>
      <w:pPr>
        <w:pStyle w:val="Heading3"/>
        <w:rPr/>
      </w:pPr>
      <w:r>
        <w:t>Setlist metadata header boundary</w:t>
      </w:r>
    </w:p>
    <w:p>
      <w:pPr>
        <w:pStyle w:val="Normal"/>
        <w:rPr/>
      </w:pPr>
      <w:r>
        <w:t>Setlist venue/location/date fallback skips leading false prose/commentary headers, then scans only the header/metadata area before track-list lines or checksum/hash/log sections. Track boundaries include punctuated, plain-numbered, time-bracketed, and file-style forms such as 01., 01 TrackTitle, 1 TrackTitle, 01 [08:23] TrackTitle, Track01, and d1t01. Hash/log boundaries include checksum, ffp, md5, st5, sfv, verification, flac conversion, shntool, aucdtect, individual 32- to 64-character hex hash lines, and runs of filename.ext:&lt;hex&gt; checksum rows for recognized audio extensions. Metadata extraction must not read dates, venues, locations, or artists after those boundaries.</w:t>
      </w:r>
    </w:p>
    <w:p>
      <w:pPr>
        <w:pStyle w:val="Normal"/>
        <w:rPr/>
      </w:pPr>
      <w:r>
        <w:t>Setlist file selection rejects NULL-filled, unreadable, binary-like, empty, no-alphabetic-content, checksum-only, and housekeeping setlist source candidates before name/content scoring. Source candidates include .txt files and supported .rtf, .doc, and .docx exceptions. Parent-folder setlists are eligible only for directly related parent/child structures or all-related wrapper release parts, not broad parents with unrelated children.</w:t>
      </w:r>
    </w:p>
    <w:p>
      <w:pPr>
        <w:pStyle w:val="Heading3"/>
        <w:rPr/>
      </w:pPr>
      <w:r>
        <w:t>Lowercase state-noise words</w:t>
      </w:r>
    </w:p>
    <w:p>
      <w:pPr>
        <w:pStyle w:val="Normal"/>
        <w:rPr/>
      </w:pPr>
      <w:r>
        <w:t>a, all, am, an, and, any, are, as, at, be, believe, by, for, from, go, if, in, into, is, it, live, me, my, of, on, or, part, set, soul, the, to, track, up, with, you, your</w:t>
      </w:r>
    </w:p>
    <w:p>
      <w:pPr>
        <w:pStyle w:val="Heading3"/>
        <w:rPr/>
      </w:pPr>
      <w:r>
        <w:t>City prefix words used by location parsing</w:t>
      </w:r>
    </w:p>
    <w:p>
      <w:pPr>
        <w:pStyle w:val="Normal"/>
        <w:rPr/>
      </w:pPr>
      <w:r>
        <w:t>east, el, fort, ft, la, lake, las, los, lower, mount, mt, new, north, old, port, saint, san, santa, south, st, upper, west</w:t>
      </w:r>
    </w:p>
    <w:p>
      <w:pPr>
        <w:pStyle w:val="Heading3"/>
        <w:rPr/>
      </w:pPr>
      <w:r>
        <w:t>Multipart city prefixes used by Phase 2/3 parsing</w:t>
      </w:r>
    </w:p>
    <w:p>
      <w:pPr>
        <w:pStyle w:val="Normal"/>
        <w:rPr/>
      </w:pPr>
      <w:r>
        <w:t>de la, Guadalupe, Emiliano, Santiago, College, Colonia, Pueblo, Puerto, Rancho, Campo, Cerro, Grand, Great, Lower, Monte, Mount, North, Nueva, Nuevo, Saint, Sankt, Santa, Santo, South, Upper, Valea, Villa, Agua, East, Fort, Lake, Nova, Palo, Port, West, Bad, Las, Les, Los, Nea, New, Old, Rio, Río, San, Sao, Al, El, La, Le</w:t>
      </w:r>
    </w:p>
    <w:p>
      <w:pPr>
        <w:pStyle w:val="Heading3"/>
        <w:rPr/>
      </w:pPr>
      <w:r>
        <w:t>Location/header limits</w:t>
      </w:r>
    </w:p>
    <w:p>
      <w:pPr>
        <w:pStyle w:val="Normal"/>
        <w:rPr/>
      </w:pPr>
      <w:r>
        <w:t>LOCATION_MAX_LEN = 45, HEADER_MAX_LINES = 10, ARTIST_HEADER_LINE_LIMIT = 2, VENUE_HEADER_LINE_LIMIT = 4</w:t>
      </w:r>
    </w:p>
    <w:p>
      <w:pPr>
        <w:pStyle w:val="Heading2"/>
        <w:rPr/>
      </w:pPr>
      <w:r>
        <w:t>E6. Qualifier, 24-bit, and Technical Artist Noise Lists</w:t>
      </w:r>
    </w:p>
    <w:p>
      <w:pPr>
        <w:pStyle w:val="Heading3"/>
        <w:rPr/>
      </w:pPr>
      <w:r>
        <w:t>Qualifier patterns and labels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Pattern</w:t>
            </w:r>
          </w:p>
        </w:tc>
        <w:tc>
          <w:tcPr>
            <w:tcW w:w="4319" w:type="dxa"/>
            <w:tcBorders/>
          </w:tcPr>
          <w:p>
            <w:pPr>
              <w:pStyle w:val="Normal"/>
              <w:spacing w:before="0" w:after="0"/>
              <w:rPr/>
            </w:pPr>
            <w:r>
              <w:rPr>
                <w:sz w:val="16"/>
              </w:rPr>
              <w:t>Label</w:t>
            </w:r>
          </w:p>
        </w:tc>
      </w:tr>
      <w:tr>
        <w:trPr/>
        <w:tc>
          <w:tcPr>
            <w:tcW w:w="4320" w:type="dxa"/>
            <w:tcBorders/>
          </w:tcPr>
          <w:p>
            <w:pPr>
              <w:pStyle w:val="Normal"/>
              <w:spacing w:before="0" w:after="0"/>
              <w:rPr/>
            </w:pPr>
            <w:r>
              <w:rPr>
                <w:sz w:val="16"/>
              </w:rPr>
              <w:t>\bset\s*1\b|\bset\s*one\b|\b1st\s*set\b</w:t>
            </w:r>
          </w:p>
        </w:tc>
        <w:tc>
          <w:tcPr>
            <w:tcW w:w="4319" w:type="dxa"/>
            <w:tcBorders/>
          </w:tcPr>
          <w:p>
            <w:pPr>
              <w:pStyle w:val="Normal"/>
              <w:spacing w:before="0" w:after="0"/>
              <w:rPr/>
            </w:pPr>
            <w:r>
              <w:rPr>
                <w:sz w:val="16"/>
              </w:rPr>
              <w:t>Set 1</w:t>
            </w:r>
          </w:p>
        </w:tc>
      </w:tr>
      <w:tr>
        <w:trPr/>
        <w:tc>
          <w:tcPr>
            <w:tcW w:w="4320" w:type="dxa"/>
            <w:tcBorders/>
          </w:tcPr>
          <w:p>
            <w:pPr>
              <w:pStyle w:val="Normal"/>
              <w:spacing w:before="0" w:after="0"/>
              <w:rPr/>
            </w:pPr>
            <w:r>
              <w:rPr>
                <w:sz w:val="16"/>
              </w:rPr>
              <w:t>\bset\s*2\b|\bset\s*two\b|\b2nd\s*set\b</w:t>
            </w:r>
          </w:p>
        </w:tc>
        <w:tc>
          <w:tcPr>
            <w:tcW w:w="4319" w:type="dxa"/>
            <w:tcBorders/>
          </w:tcPr>
          <w:p>
            <w:pPr>
              <w:pStyle w:val="Normal"/>
              <w:spacing w:before="0" w:after="0"/>
              <w:rPr/>
            </w:pPr>
            <w:r>
              <w:rPr>
                <w:sz w:val="16"/>
              </w:rPr>
              <w:t>Set 2</w:t>
            </w:r>
          </w:p>
        </w:tc>
      </w:tr>
      <w:tr>
        <w:trPr/>
        <w:tc>
          <w:tcPr>
            <w:tcW w:w="4320" w:type="dxa"/>
            <w:tcBorders/>
          </w:tcPr>
          <w:p>
            <w:pPr>
              <w:pStyle w:val="Normal"/>
              <w:spacing w:before="0" w:after="0"/>
              <w:rPr/>
            </w:pPr>
            <w:r>
              <w:rPr>
                <w:sz w:val="16"/>
              </w:rPr>
              <w:t>\bset\s*3\b|\bset\s*three\b|\b3rd\s*set\b</w:t>
            </w:r>
          </w:p>
        </w:tc>
        <w:tc>
          <w:tcPr>
            <w:tcW w:w="4319" w:type="dxa"/>
            <w:tcBorders/>
          </w:tcPr>
          <w:p>
            <w:pPr>
              <w:pStyle w:val="Normal"/>
              <w:spacing w:before="0" w:after="0"/>
              <w:rPr/>
            </w:pPr>
            <w:r>
              <w:rPr>
                <w:sz w:val="16"/>
              </w:rPr>
              <w:t>Set 3</w:t>
            </w:r>
          </w:p>
        </w:tc>
      </w:tr>
      <w:tr>
        <w:trPr/>
        <w:tc>
          <w:tcPr>
            <w:tcW w:w="4320" w:type="dxa"/>
            <w:tcBorders/>
          </w:tcPr>
          <w:p>
            <w:pPr>
              <w:pStyle w:val="Normal"/>
              <w:spacing w:before="0" w:after="0"/>
              <w:rPr/>
            </w:pPr>
            <w:r>
              <w:rPr>
                <w:sz w:val="16"/>
              </w:rPr>
              <w:t>\bearly\b</w:t>
            </w:r>
          </w:p>
        </w:tc>
        <w:tc>
          <w:tcPr>
            <w:tcW w:w="4319" w:type="dxa"/>
            <w:tcBorders/>
          </w:tcPr>
          <w:p>
            <w:pPr>
              <w:pStyle w:val="Normal"/>
              <w:spacing w:before="0" w:after="0"/>
              <w:rPr/>
            </w:pPr>
            <w:r>
              <w:rPr>
                <w:sz w:val="16"/>
              </w:rPr>
              <w:t>Early Show</w:t>
            </w:r>
          </w:p>
        </w:tc>
      </w:tr>
      <w:tr>
        <w:trPr/>
        <w:tc>
          <w:tcPr>
            <w:tcW w:w="4320" w:type="dxa"/>
            <w:tcBorders/>
          </w:tcPr>
          <w:p>
            <w:pPr>
              <w:pStyle w:val="Normal"/>
              <w:spacing w:before="0" w:after="0"/>
              <w:rPr/>
            </w:pPr>
            <w:r>
              <w:rPr>
                <w:sz w:val="16"/>
              </w:rPr>
              <w:t>\blate\b</w:t>
            </w:r>
          </w:p>
        </w:tc>
        <w:tc>
          <w:tcPr>
            <w:tcW w:w="4319" w:type="dxa"/>
            <w:tcBorders/>
          </w:tcPr>
          <w:p>
            <w:pPr>
              <w:pStyle w:val="Normal"/>
              <w:spacing w:before="0" w:after="0"/>
              <w:rPr/>
            </w:pPr>
            <w:r>
              <w:rPr>
                <w:sz w:val="16"/>
              </w:rPr>
              <w:t>Late Show</w:t>
            </w:r>
          </w:p>
        </w:tc>
      </w:tr>
      <w:tr>
        <w:trPr/>
        <w:tc>
          <w:tcPr>
            <w:tcW w:w="4320" w:type="dxa"/>
            <w:tcBorders/>
          </w:tcPr>
          <w:p>
            <w:pPr>
              <w:pStyle w:val="Normal"/>
              <w:spacing w:before="0" w:after="0"/>
              <w:rPr/>
            </w:pPr>
            <w:r>
              <w:rPr>
                <w:sz w:val="16"/>
              </w:rPr>
              <w:t>\bafternoon\b</w:t>
            </w:r>
          </w:p>
        </w:tc>
        <w:tc>
          <w:tcPr>
            <w:tcW w:w="4319" w:type="dxa"/>
            <w:tcBorders/>
          </w:tcPr>
          <w:p>
            <w:pPr>
              <w:pStyle w:val="Normal"/>
              <w:spacing w:before="0" w:after="0"/>
              <w:rPr/>
            </w:pPr>
            <w:r>
              <w:rPr>
                <w:sz w:val="16"/>
              </w:rPr>
              <w:t>Afternoon Show</w:t>
            </w:r>
          </w:p>
        </w:tc>
      </w:tr>
      <w:tr>
        <w:trPr/>
        <w:tc>
          <w:tcPr>
            <w:tcW w:w="4320" w:type="dxa"/>
            <w:tcBorders/>
          </w:tcPr>
          <w:p>
            <w:pPr>
              <w:pStyle w:val="Normal"/>
              <w:spacing w:before="0" w:after="0"/>
              <w:rPr/>
            </w:pPr>
            <w:r>
              <w:rPr>
                <w:sz w:val="16"/>
              </w:rPr>
              <w:t>\bevening\b</w:t>
            </w:r>
          </w:p>
        </w:tc>
        <w:tc>
          <w:tcPr>
            <w:tcW w:w="4319" w:type="dxa"/>
            <w:tcBorders/>
          </w:tcPr>
          <w:p>
            <w:pPr>
              <w:pStyle w:val="Normal"/>
              <w:spacing w:before="0" w:after="0"/>
              <w:rPr/>
            </w:pPr>
            <w:r>
              <w:rPr>
                <w:sz w:val="16"/>
              </w:rPr>
              <w:t>Evening Show</w:t>
            </w:r>
          </w:p>
        </w:tc>
      </w:tr>
      <w:tr>
        <w:trPr/>
        <w:tc>
          <w:tcPr>
            <w:tcW w:w="4320" w:type="dxa"/>
            <w:tcBorders/>
          </w:tcPr>
          <w:p>
            <w:pPr>
              <w:pStyle w:val="Normal"/>
              <w:spacing w:before="0" w:after="0"/>
              <w:rPr/>
            </w:pPr>
            <w:r>
              <w:rPr>
                <w:sz w:val="16"/>
              </w:rPr>
              <w:t>\bacoustic\b</w:t>
            </w:r>
          </w:p>
        </w:tc>
        <w:tc>
          <w:tcPr>
            <w:tcW w:w="4319" w:type="dxa"/>
            <w:tcBorders/>
          </w:tcPr>
          <w:p>
            <w:pPr>
              <w:pStyle w:val="Normal"/>
              <w:spacing w:before="0" w:after="0"/>
              <w:rPr/>
            </w:pPr>
            <w:r>
              <w:rPr>
                <w:sz w:val="16"/>
              </w:rPr>
              <w:t>Acoustic Set</w:t>
            </w:r>
          </w:p>
        </w:tc>
      </w:tr>
      <w:tr>
        <w:trPr/>
        <w:tc>
          <w:tcPr>
            <w:tcW w:w="4320" w:type="dxa"/>
            <w:tcBorders/>
          </w:tcPr>
          <w:p>
            <w:pPr>
              <w:pStyle w:val="Normal"/>
              <w:spacing w:before="0" w:after="0"/>
              <w:rPr/>
            </w:pPr>
            <w:r>
              <w:rPr>
                <w:sz w:val="16"/>
              </w:rPr>
              <w:t>\belectric\b</w:t>
            </w:r>
          </w:p>
        </w:tc>
        <w:tc>
          <w:tcPr>
            <w:tcW w:w="4319" w:type="dxa"/>
            <w:tcBorders/>
          </w:tcPr>
          <w:p>
            <w:pPr>
              <w:pStyle w:val="Normal"/>
              <w:spacing w:before="0" w:after="0"/>
              <w:rPr/>
            </w:pPr>
            <w:r>
              <w:rPr>
                <w:sz w:val="16"/>
              </w:rPr>
              <w:t>Electric Set</w:t>
            </w:r>
          </w:p>
        </w:tc>
      </w:tr>
      <w:tr>
        <w:trPr/>
        <w:tc>
          <w:tcPr>
            <w:tcW w:w="4320" w:type="dxa"/>
            <w:tcBorders/>
          </w:tcPr>
          <w:p>
            <w:pPr>
              <w:pStyle w:val="Normal"/>
              <w:spacing w:before="0" w:after="0"/>
              <w:rPr/>
            </w:pPr>
            <w:r>
              <w:rPr>
                <w:sz w:val="16"/>
              </w:rPr>
              <w:t>\bmatinee\b</w:t>
            </w:r>
          </w:p>
        </w:tc>
        <w:tc>
          <w:tcPr>
            <w:tcW w:w="4319" w:type="dxa"/>
            <w:tcBorders/>
          </w:tcPr>
          <w:p>
            <w:pPr>
              <w:pStyle w:val="Normal"/>
              <w:spacing w:before="0" w:after="0"/>
              <w:rPr/>
            </w:pPr>
            <w:r>
              <w:rPr>
                <w:sz w:val="16"/>
              </w:rPr>
              <w:t>Matinee</w:t>
            </w:r>
          </w:p>
        </w:tc>
      </w:tr>
      <w:tr>
        <w:trPr/>
        <w:tc>
          <w:tcPr>
            <w:tcW w:w="4320" w:type="dxa"/>
            <w:tcBorders/>
          </w:tcPr>
          <w:p>
            <w:pPr>
              <w:pStyle w:val="Normal"/>
              <w:spacing w:before="0" w:after="0"/>
              <w:rPr/>
            </w:pPr>
            <w:r>
              <w:rPr>
                <w:sz w:val="16"/>
              </w:rPr>
              <w:t>\bsoundcheck\b</w:t>
            </w:r>
          </w:p>
        </w:tc>
        <w:tc>
          <w:tcPr>
            <w:tcW w:w="4319" w:type="dxa"/>
            <w:tcBorders/>
          </w:tcPr>
          <w:p>
            <w:pPr>
              <w:pStyle w:val="Normal"/>
              <w:spacing w:before="0" w:after="0"/>
              <w:rPr/>
            </w:pPr>
            <w:r>
              <w:rPr>
                <w:sz w:val="16"/>
              </w:rPr>
              <w:t>Soundcheck</w:t>
            </w:r>
          </w:p>
        </w:tc>
      </w:tr>
      <w:tr>
        <w:trPr/>
        <w:tc>
          <w:tcPr>
            <w:tcW w:w="4320" w:type="dxa"/>
            <w:tcBorders/>
          </w:tcPr>
          <w:p>
            <w:pPr>
              <w:pStyle w:val="Normal"/>
              <w:spacing w:before="0" w:after="0"/>
              <w:rPr/>
            </w:pPr>
            <w:r>
              <w:rPr>
                <w:sz w:val="16"/>
              </w:rPr>
              <w:t>\brehearsal\b</w:t>
            </w:r>
          </w:p>
        </w:tc>
        <w:tc>
          <w:tcPr>
            <w:tcW w:w="4319" w:type="dxa"/>
            <w:tcBorders/>
          </w:tcPr>
          <w:p>
            <w:pPr>
              <w:pStyle w:val="Normal"/>
              <w:spacing w:before="0" w:after="0"/>
              <w:rPr/>
            </w:pPr>
            <w:r>
              <w:rPr>
                <w:sz w:val="16"/>
              </w:rPr>
              <w:t>Rehearsal</w:t>
            </w:r>
          </w:p>
        </w:tc>
      </w:tr>
    </w:tbl>
    <w:p>
      <w:pPr>
        <w:pStyle w:val="Heading3"/>
        <w:rPr/>
      </w:pPr>
      <w:r>
        <w:t>24-bit detection patterns</w:t>
      </w:r>
    </w:p>
    <w:p>
      <w:pPr>
        <w:pStyle w:val="Normal"/>
        <w:rPr/>
      </w:pPr>
      <w:r>
        <w:t>\b24\s*[-_/ ]?bit\b</w:t>
      </w:r>
    </w:p>
    <w:p>
      <w:pPr>
        <w:pStyle w:val="Normal"/>
        <w:rPr/>
      </w:pPr>
      <w:r>
        <w:t>\b24[-_/ ](44|48|88(?:\.2)?|96|176(?:\.4)?|192)\b</w:t>
      </w:r>
    </w:p>
    <w:p>
      <w:pPr>
        <w:pStyle w:val="Normal"/>
        <w:rPr/>
      </w:pPr>
      <w:r>
        <w:t>\b24[-_/ ]?(96|192)k?\b</w:t>
      </w:r>
    </w:p>
    <w:p>
      <w:pPr>
        <w:pStyle w:val="Heading3"/>
        <w:rPr/>
      </w:pPr>
      <w:r>
        <w:t>Technical artist-noise terms</w:t>
      </w:r>
    </w:p>
    <w:p>
      <w:pPr>
        <w:pStyle w:val="Normal"/>
        <w:rPr/>
      </w:pPr>
      <w:r>
        <w:t>16bit, 24bit, aac, alac, ape, aucdtect, aud, cd, checksum, checksums, disc, disk, dvd, easyed, etree, ffp, flac, flac16, flac24, flacs, fm, fpt, info, lossless, m4a, master, md5, mp3, oga, ogg, opus, part, pt, readme, remaster, remastered, sbd, set, shn, shnf, side, source, sources, spectrogram, torrent, tv, txt, unk, unknown, wav</w:t>
      </w:r>
    </w:p>
    <w:p>
      <w:pPr>
        <w:pStyle w:val="Heading2"/>
        <w:rPr/>
      </w:pPr>
      <w:r>
        <w:t>E7. Artist, Database, and Metadata Support Lists</w:t>
      </w:r>
    </w:p>
    <w:p>
      <w:pPr>
        <w:pStyle w:val="Heading3"/>
        <w:rPr/>
      </w:pPr>
      <w:r>
        <w:t>Required SQLite tables and columns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Table</w:t>
            </w:r>
          </w:p>
        </w:tc>
        <w:tc>
          <w:tcPr>
            <w:tcW w:w="4319" w:type="dxa"/>
            <w:tcBorders/>
          </w:tcPr>
          <w:p>
            <w:pPr>
              <w:pStyle w:val="Normal"/>
              <w:spacing w:before="0" w:after="0"/>
              <w:rPr/>
            </w:pPr>
            <w:r>
              <w:rPr>
                <w:sz w:val="16"/>
              </w:rPr>
              <w:t>Required columns</w:t>
            </w:r>
          </w:p>
        </w:tc>
      </w:tr>
      <w:tr>
        <w:trPr/>
        <w:tc>
          <w:tcPr>
            <w:tcW w:w="4320" w:type="dxa"/>
            <w:tcBorders/>
          </w:tcPr>
          <w:p>
            <w:pPr>
              <w:pStyle w:val="Normal"/>
              <w:spacing w:before="0" w:after="0"/>
              <w:rPr/>
            </w:pPr>
            <w:r>
              <w:rPr>
                <w:sz w:val="16"/>
              </w:rPr>
              <w:t>artists</w:t>
            </w:r>
          </w:p>
        </w:tc>
        <w:tc>
          <w:tcPr>
            <w:tcW w:w="4319" w:type="dxa"/>
            <w:tcBorders/>
          </w:tcPr>
          <w:p>
            <w:pPr>
              <w:pStyle w:val="Normal"/>
              <w:spacing w:before="0" w:after="0"/>
              <w:rPr/>
            </w:pPr>
            <w:r>
              <w:rPr>
                <w:sz w:val="16"/>
              </w:rPr>
              <w:t>artist_id, source_row_number, master_name</w:t>
            </w:r>
          </w:p>
        </w:tc>
      </w:tr>
      <w:tr>
        <w:trPr/>
        <w:tc>
          <w:tcPr>
            <w:tcW w:w="4320" w:type="dxa"/>
            <w:tcBorders/>
          </w:tcPr>
          <w:p>
            <w:pPr>
              <w:pStyle w:val="Normal"/>
              <w:spacing w:before="0" w:after="0"/>
              <w:rPr/>
            </w:pPr>
            <w:r>
              <w:rPr>
                <w:sz w:val="16"/>
              </w:rPr>
              <w:t>aliases</w:t>
            </w:r>
          </w:p>
        </w:tc>
        <w:tc>
          <w:tcPr>
            <w:tcW w:w="4319" w:type="dxa"/>
            <w:tcBorders/>
          </w:tcPr>
          <w:p>
            <w:pPr>
              <w:pStyle w:val="Normal"/>
              <w:spacing w:before="0" w:after="0"/>
              <w:rPr/>
            </w:pPr>
            <w:r>
              <w:rPr>
                <w:sz w:val="16"/>
              </w:rPr>
              <w:t>alias_id, artist_id, alias_text, alias_order</w:t>
            </w:r>
          </w:p>
        </w:tc>
      </w:tr>
      <w:tr>
        <w:trPr/>
        <w:tc>
          <w:tcPr>
            <w:tcW w:w="4320" w:type="dxa"/>
            <w:tcBorders/>
          </w:tcPr>
          <w:p>
            <w:pPr>
              <w:pStyle w:val="Normal"/>
              <w:spacing w:before="0" w:after="0"/>
              <w:rPr/>
            </w:pPr>
            <w:r>
              <w:rPr>
                <w:sz w:val="16"/>
              </w:rPr>
              <w:t>terms</w:t>
            </w:r>
          </w:p>
        </w:tc>
        <w:tc>
          <w:tcPr>
            <w:tcW w:w="4319" w:type="dxa"/>
            <w:tcBorders/>
          </w:tcPr>
          <w:p>
            <w:pPr>
              <w:pStyle w:val="Normal"/>
              <w:spacing w:before="0" w:after="0"/>
              <w:rPr/>
            </w:pPr>
            <w:r>
              <w:rPr>
                <w:sz w:val="16"/>
              </w:rPr>
              <w:t>term_id, artist_id, term_text, term_type, term_order</w:t>
            </w:r>
          </w:p>
        </w:tc>
      </w:tr>
    </w:tbl>
    <w:p>
      <w:pPr>
        <w:pStyle w:val="Heading3"/>
        <w:rPr/>
      </w:pPr>
      <w:r>
        <w:t>Metadata source confidence names and weights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Source name</w:t>
            </w:r>
          </w:p>
        </w:tc>
        <w:tc>
          <w:tcPr>
            <w:tcW w:w="4319" w:type="dxa"/>
            <w:tcBorders/>
          </w:tcPr>
          <w:p>
            <w:pPr>
              <w:pStyle w:val="Normal"/>
              <w:spacing w:before="0" w:after="0"/>
              <w:rPr/>
            </w:pPr>
            <w:r>
              <w:rPr>
                <w:sz w:val="16"/>
              </w:rPr>
              <w:t>Weight</w:t>
            </w:r>
          </w:p>
        </w:tc>
      </w:tr>
      <w:tr>
        <w:trPr/>
        <w:tc>
          <w:tcPr>
            <w:tcW w:w="4320" w:type="dxa"/>
            <w:tcBorders/>
          </w:tcPr>
          <w:p>
            <w:pPr>
              <w:pStyle w:val="Normal"/>
              <w:spacing w:before="0" w:after="0"/>
              <w:rPr/>
            </w:pPr>
            <w:r>
              <w:rPr>
                <w:sz w:val="16"/>
              </w:rPr>
              <w:t>fallback_artist_folder</w:t>
            </w:r>
          </w:p>
        </w:tc>
        <w:tc>
          <w:tcPr>
            <w:tcW w:w="4319" w:type="dxa"/>
            <w:tcBorders/>
          </w:tcPr>
          <w:p>
            <w:pPr>
              <w:pStyle w:val="Normal"/>
              <w:spacing w:before="0" w:after="0"/>
              <w:rPr/>
            </w:pPr>
            <w:r>
              <w:rPr>
                <w:sz w:val="16"/>
              </w:rPr>
              <w:t>15</w:t>
            </w:r>
          </w:p>
        </w:tc>
      </w:tr>
      <w:tr>
        <w:trPr/>
        <w:tc>
          <w:tcPr>
            <w:tcW w:w="4320" w:type="dxa"/>
            <w:tcBorders/>
          </w:tcPr>
          <w:p>
            <w:pPr>
              <w:pStyle w:val="Normal"/>
              <w:spacing w:before="0" w:after="0"/>
              <w:rPr/>
            </w:pPr>
            <w:r>
              <w:rPr>
                <w:sz w:val="16"/>
              </w:rPr>
              <w:t>fallback_header_line_1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fallback_header_line_2</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fallback_path_tail</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fallback_setlist_supported</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fallback_show_prefix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flac_tag_albumartist</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flac_tag_artist</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main_dir_name</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main_dir_name_prefix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main_dir_name_tail</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main_dir_path</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main_dir_path_basename</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main_dir_path_full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main_dir_path_prefix</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music_filenames</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path_segment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path_tail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setlist_filename</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setlist_filename_stem</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setlist_full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setlist_header</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setlist_line_1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setlist_line_2</w:t>
            </w:r>
          </w:p>
        </w:tc>
        <w:tc>
          <w:tcPr>
            <w:tcW w:w="4319" w:type="dxa"/>
            <w:tcBorders/>
          </w:tcPr>
          <w:p>
            <w:pPr>
              <w:pStyle w:val="Normal"/>
              <w:spacing w:before="0" w:after="0"/>
              <w:rPr/>
            </w:pPr>
            <w:r>
              <w:rPr>
                <w:sz w:val="16"/>
              </w:rPr>
              <w:t>17</w:t>
            </w:r>
          </w:p>
        </w:tc>
      </w:tr>
      <w:tr>
        <w:trPr/>
        <w:tc>
          <w:tcPr>
            <w:tcW w:w="4320" w:type="dxa"/>
            <w:tcBorders/>
          </w:tcPr>
          <w:p>
            <w:pPr>
              <w:pStyle w:val="Normal"/>
              <w:spacing w:before="0" w:after="0"/>
              <w:rPr/>
            </w:pPr>
            <w:r>
              <w:rPr>
                <w:sz w:val="16"/>
              </w:rPr>
              <w:t>setlist_line_3</w:t>
            </w:r>
          </w:p>
        </w:tc>
        <w:tc>
          <w:tcPr>
            <w:tcW w:w="4319" w:type="dxa"/>
            <w:tcBorders/>
          </w:tcPr>
          <w:p>
            <w:pPr>
              <w:pStyle w:val="Normal"/>
              <w:spacing w:before="0" w:after="0"/>
              <w:rPr/>
            </w:pPr>
            <w:r>
              <w:rPr>
                <w:sz w:val="16"/>
              </w:rPr>
              <w:t>16</w:t>
            </w:r>
          </w:p>
        </w:tc>
      </w:tr>
    </w:tbl>
    <w:p>
      <w:pPr>
        <w:pStyle w:val="Heading2"/>
        <w:rPr/>
      </w:pPr>
      <w:r>
        <w:t>E8. GUI, Logging, Boolean, and Support Enumerations</w:t>
      </w:r>
    </w:p>
    <w:p>
      <w:pPr>
        <w:pStyle w:val="Heading3"/>
        <w:rPr/>
      </w:pPr>
      <w:r>
        <w:t>Command-line option reference</w:t>
      </w:r>
    </w:p>
    <w:p>
      <w:pPr>
        <w:pStyle w:val="Normal"/>
        <w:rPr/>
      </w:pPr>
      <w:r>
        <w:t>The canonical supported and rejected command-line options, defaults, dependencies, hidden compatibility arguments, and application-specific carve-outs are defined in Sections 13 and 13.1. This appendix does not restate them.</w:t>
      </w:r>
    </w:p>
    <w:p>
      <w:pPr>
        <w:pStyle w:val="Heading3"/>
        <w:rPr/>
      </w:pPr>
      <w:r>
        <w:t>GUI fields and visible controls</w:t>
      </w:r>
    </w:p>
    <w:p>
      <w:pPr>
        <w:pStyle w:val="Normal"/>
        <w:rPr/>
      </w:pPr>
      <w:r>
        <w:t>Execution safety: tlo-gi.py and tlo-ggi.py must initialize multiprocessing freeze support before any CLI, GUI, or inventory logic can create worker processes. GUI Quit and Ctrl-C must use the shared cancellation/worker-termination path before active tokenized log deletion. Performance controls must apply consistently to CLI, GUI, and worker processes.</w:t>
      </w:r>
    </w:p>
    <w:p>
      <w:pPr>
        <w:rPr/>
      </w:pPr>
      <w:r>
        <w:t>Search Path, Slam, Performance Mode, Max Workers, etreeDB, Compliant, Tag in Place, Artist in Album Tag, setlist.fm, setlist.fm upgrade, Rename Compliantly, Tag Copy, Convert shn, As-Is Artist Name, Tag Copy/Delete Original, Dry run, Add Shows (incremental), Research, Reverse Copy/Delete + Rename, Quit, Inventory (full), Pause, Resume, and Tag are the current main-window controls. Silent is not a visible control.</w:t>
      </w:r>
    </w:p>
    <w:p>
      <w:pPr>
        <w:pStyle w:val="Heading3"/>
        <w:rPr/>
      </w:pPr>
      <w:r>
        <w:t>Performance mode values</w:t>
      </w:r>
    </w:p>
    <w:p>
      <w:pPr>
        <w:pStyle w:val="Normal"/>
        <w:rPr/>
      </w:pPr>
      <w:r>
        <w:t>gentle, balanced, fast, extreme</w:t>
      </w:r>
    </w:p>
    <w:p>
      <w:pPr>
        <w:pStyle w:val="Heading3"/>
        <w:rPr/>
      </w:pPr>
      <w:r>
        <w:t>Max workers value</w:t>
      </w:r>
    </w:p>
    <w:p>
      <w:pPr>
        <w:pStyle w:val="Normal"/>
        <w:rPr/>
      </w:pPr>
      <w:r>
        <w:t>Integer N &gt;= 0. See Section 2.10 for zero/default semantics, extreme-mode display behavior, and volume-group worker caps.</w:t>
      </w:r>
    </w:p>
    <w:p>
      <w:pPr>
        <w:pStyle w:val="Heading3"/>
        <w:rPr/>
      </w:pPr>
      <w:r>
        <w:t>Boolean true values accepted by parser</w:t>
      </w:r>
    </w:p>
    <w:p>
      <w:pPr>
        <w:pStyle w:val="Normal"/>
        <w:rPr/>
      </w:pPr>
      <w:r>
        <w:t>1, t, true, y, yes</w:t>
      </w:r>
    </w:p>
    <w:p>
      <w:pPr>
        <w:pStyle w:val="Heading3"/>
        <w:rPr/>
      </w:pPr>
      <w:r>
        <w:t>Boolean false values accepted by parser</w:t>
      </w:r>
    </w:p>
    <w:p>
      <w:pPr>
        <w:pStyle w:val="Normal"/>
        <w:rPr/>
      </w:pPr>
      <w:r>
        <w:t>0, f, false, n, no</w:t>
      </w:r>
    </w:p>
    <w:p>
      <w:pPr>
        <w:pStyle w:val="Heading3"/>
        <w:rPr/>
      </w:pPr>
      <w:r>
        <w:t>Short log file prefixes</w:t>
      </w:r>
    </w:p>
    <w:p>
      <w:pPr>
        <w:pStyle w:val="Heading3"/>
        <w:rPr/>
      </w:pPr>
      <w:r>
        <w:t>confX.log, deadX.log, compX.log, dupsX.log, groupsX.log, metaX.log, tagsX.txt, tageX.txt</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Log role</w:t>
            </w:r>
          </w:p>
        </w:tc>
        <w:tc>
          <w:tcPr>
            <w:tcW w:w="4319" w:type="dxa"/>
            <w:tcBorders/>
          </w:tcPr>
          <w:p>
            <w:pPr>
              <w:pStyle w:val="Normal"/>
              <w:spacing w:before="0" w:after="0"/>
              <w:rPr/>
            </w:pPr>
            <w:r>
              <w:rPr>
                <w:sz w:val="16"/>
              </w:rPr>
              <w:t>Filename prefix</w:t>
            </w:r>
          </w:p>
        </w:tc>
      </w:tr>
      <w:tr>
        <w:trPr/>
        <w:tc>
          <w:tcPr>
            <w:tcW w:w="4320" w:type="dxa"/>
            <w:tcBorders/>
          </w:tcPr>
          <w:p>
            <w:pPr>
              <w:pStyle w:val="Normal"/>
              <w:spacing w:before="0" w:after="0"/>
              <w:rPr/>
            </w:pPr>
            <w:r>
              <w:rPr>
                <w:sz w:val="16"/>
              </w:rPr>
              <w:t>complete_paths</w:t>
            </w:r>
          </w:p>
        </w:tc>
        <w:tc>
          <w:tcPr>
            <w:tcW w:w="4319" w:type="dxa"/>
            <w:tcBorders/>
          </w:tcPr>
          <w:p>
            <w:pPr>
              <w:pStyle w:val="Normal"/>
              <w:spacing w:before="0" w:after="0"/>
              <w:rPr/>
            </w:pPr>
            <w:r>
              <w:rPr>
                <w:sz w:val="16"/>
              </w:rPr>
              <w:t>comp</w:t>
            </w:r>
          </w:p>
        </w:tc>
      </w:tr>
      <w:tr>
        <w:trPr/>
        <w:tc>
          <w:tcPr>
            <w:tcW w:w="4320" w:type="dxa"/>
            <w:tcBorders/>
          </w:tcPr>
          <w:p>
            <w:pPr>
              <w:pStyle w:val="Normal"/>
              <w:spacing w:before="0" w:after="0"/>
              <w:rPr/>
            </w:pPr>
            <w:r>
              <w:rPr>
                <w:sz w:val="16"/>
              </w:rPr>
              <w:t>conflicts</w:t>
            </w:r>
          </w:p>
        </w:tc>
        <w:tc>
          <w:tcPr>
            <w:tcW w:w="4319" w:type="dxa"/>
            <w:tcBorders/>
          </w:tcPr>
          <w:p>
            <w:pPr>
              <w:pStyle w:val="Normal"/>
              <w:spacing w:before="0" w:after="0"/>
              <w:rPr/>
            </w:pPr>
            <w:r>
              <w:rPr>
                <w:sz w:val="16"/>
              </w:rPr>
              <w:t>conf</w:t>
            </w:r>
          </w:p>
        </w:tc>
      </w:tr>
      <w:tr>
        <w:trPr/>
        <w:tc>
          <w:tcPr>
            <w:tcW w:w="4320" w:type="dxa"/>
            <w:tcBorders/>
          </w:tcPr>
          <w:p>
            <w:pPr>
              <w:pStyle w:val="Normal"/>
              <w:spacing w:before="0" w:after="0"/>
              <w:rPr/>
            </w:pPr>
            <w:r>
              <w:rPr>
                <w:sz w:val="16"/>
              </w:rPr>
              <w:t>dead_end</w:t>
            </w:r>
          </w:p>
        </w:tc>
        <w:tc>
          <w:tcPr>
            <w:tcW w:w="4319" w:type="dxa"/>
            <w:tcBorders/>
          </w:tcPr>
          <w:p>
            <w:pPr>
              <w:pStyle w:val="Normal"/>
              <w:spacing w:before="0" w:after="0"/>
              <w:rPr/>
            </w:pPr>
            <w:r>
              <w:rPr>
                <w:sz w:val="16"/>
              </w:rPr>
              <w:t>dead</w:t>
            </w:r>
          </w:p>
        </w:tc>
      </w:tr>
      <w:tr>
        <w:trPr/>
        <w:tc>
          <w:tcPr>
            <w:tcW w:w="4320" w:type="dxa"/>
            <w:tcBorders/>
          </w:tcPr>
          <w:p>
            <w:pPr>
              <w:pStyle w:val="Normal"/>
              <w:spacing w:before="0" w:after="0"/>
              <w:rPr/>
            </w:pPr>
            <w:r>
              <w:rPr>
                <w:sz w:val="16"/>
              </w:rPr>
              <w:t>duplicate</w:t>
            </w:r>
          </w:p>
        </w:tc>
        <w:tc>
          <w:tcPr>
            <w:tcW w:w="4319" w:type="dxa"/>
            <w:tcBorders/>
          </w:tcPr>
          <w:p>
            <w:pPr>
              <w:pStyle w:val="Normal"/>
              <w:spacing w:before="0" w:after="0"/>
              <w:rPr/>
            </w:pPr>
            <w:r>
              <w:rPr>
                <w:sz w:val="16"/>
              </w:rPr>
              <w:t>dups</w:t>
            </w:r>
          </w:p>
        </w:tc>
      </w:tr>
      <w:tr>
        <w:trPr/>
        <w:tc>
          <w:tcPr>
            <w:tcW w:w="4320" w:type="dxa"/>
            <w:tcBorders/>
          </w:tcPr>
          <w:p>
            <w:pPr>
              <w:pStyle w:val="Normal"/>
              <w:spacing w:before="0" w:after="0"/>
              <w:rPr/>
            </w:pPr>
            <w:r>
              <w:rPr>
                <w:sz w:val="16"/>
              </w:rPr>
              <w:t>groups</w:t>
            </w:r>
          </w:p>
        </w:tc>
        <w:tc>
          <w:tcPr>
            <w:tcW w:w="4319" w:type="dxa"/>
            <w:tcBorders/>
          </w:tcPr>
          <w:p>
            <w:pPr>
              <w:pStyle w:val="Normal"/>
              <w:spacing w:before="0" w:after="0"/>
              <w:rPr/>
            </w:pPr>
            <w:r>
              <w:rPr>
                <w:sz w:val="16"/>
              </w:rPr>
              <w:t>groups</w:t>
            </w:r>
          </w:p>
        </w:tc>
      </w:tr>
      <w:tr>
        <w:trPr/>
        <w:tc>
          <w:tcPr>
            <w:tcW w:w="4320" w:type="dxa"/>
            <w:tcBorders/>
          </w:tcPr>
          <w:p>
            <w:pPr>
              <w:pStyle w:val="Normal"/>
              <w:spacing w:before="0" w:after="0"/>
              <w:rPr/>
            </w:pPr>
            <w:r>
              <w:rPr>
                <w:sz w:val="16"/>
              </w:rPr>
              <w:t>show_metadata</w:t>
            </w:r>
          </w:p>
        </w:tc>
        <w:tc>
          <w:tcPr>
            <w:tcW w:w="4319" w:type="dxa"/>
            <w:tcBorders/>
          </w:tcPr>
          <w:p>
            <w:pPr>
              <w:pStyle w:val="Normal"/>
              <w:spacing w:before="0" w:after="0"/>
              <w:rPr/>
            </w:pPr>
            <w:r>
              <w:rPr>
                <w:sz w:val="16"/>
              </w:rPr>
              <w:t>meta</w:t>
            </w:r>
          </w:p>
        </w:tc>
      </w:tr>
      <w:tr>
        <w:trPr/>
        <w:tc>
          <w:tcPr>
            <w:tcW w:w="4320" w:type="dxa"/>
            <w:tcBorders/>
          </w:tcPr>
          <w:p>
            <w:pPr>
              <w:pStyle w:val="Normal"/>
              <w:widowControl/>
              <w:bidi w:val="0"/>
              <w:spacing w:lineRule="auto" w:line="276" w:before="0" w:after="200"/>
              <w:jc w:val="left"/>
              <w:rPr/>
            </w:pPr>
            <w:r>
              <w:rPr/>
              <w:t>tag</w:t>
            </w:r>
          </w:p>
        </w:tc>
        <w:tc>
          <w:tcPr>
            <w:tcW w:w="4319" w:type="dxa"/>
            <w:tcBorders/>
          </w:tcPr>
          <w:p>
            <w:pPr>
              <w:pStyle w:val="Normal"/>
              <w:widowControl/>
              <w:bidi w:val="0"/>
              <w:spacing w:lineRule="auto" w:line="276" w:before="0" w:after="200"/>
              <w:jc w:val="left"/>
              <w:rPr/>
            </w:pPr>
            <w:r>
              <w:rPr/>
              <w:t>tag</w:t>
            </w:r>
          </w:p>
        </w:tc>
      </w:tr>
    </w:tbl>
    <w:p>
      <w:pPr>
        <w:pStyle w:val="Heading3"/>
        <w:rPr/>
      </w:pPr>
      <w:r>
        <w:t>Log token character ranges</w:t>
      </w:r>
    </w:p>
    <w:p>
      <w:pPr>
        <w:pStyle w:val="Normal"/>
        <w:rPr/>
      </w:pPr>
      <w:r>
        <w:t>0-9, A-Z. If a run would require more simultaneous tokens than this range provides, the program must report a readable error before writing tokenized logs.</w:t>
      </w:r>
    </w:p>
    <w:p>
      <w:pPr>
        <w:pStyle w:val="Heading3"/>
        <w:rPr/>
      </w:pPr>
      <w:r>
        <w:t>Database/location filename constants</w:t>
      </w:r>
    </w:p>
    <w:p>
      <w:pPr>
        <w:pStyle w:val="Heading3"/>
        <w:rPr/>
      </w:pPr>
      <w:r>
        <w:t>Setlist metadata support files in TLO_DBs</w:t>
      </w:r>
    </w:p>
    <w:p>
      <w:pPr>
        <w:pStyle w:val="ListBullet"/>
        <w:numPr>
          <w:ilvl w:val="0"/>
          <w:numId w:val="1"/>
        </w:numPr>
        <w:rPr/>
      </w:pPr>
      <w:r>
        <w:t>Non-compliant setlist date extraction uses the selected setlist text and the standard date patterns. Non-compliant setlist venue/location extraction uses venues.txt and may use cities.csv, states_regions.csv, and countries.csv from TLOHome/TLO_DBs when those files are available. Missing venues.txt disables local setlist venue/location checking with an observation or startup/reporting message rather than silent success.</w:t>
      </w:r>
    </w:p>
    <w:p>
      <w:pPr>
        <w:pStyle w:val="Normal"/>
        <w:rPr/>
      </w:pPr>
      <w:r>
        <w:t>TLO_DBS_DIRNAME = TLO_DBs, ARTIST_SQLITE_DB_FILENAME = artists.sqlite, VENUE_REFERENCE_DB_FILENAME = venues.txt</w:t>
      </w:r>
    </w:p>
    <w:p>
      <w:pPr>
        <w:pStyle w:val="Heading1"/>
        <w:rPr/>
      </w:pPr>
      <w:r>
        <w:t>Appendix F - Code List Coverage Review</w:t>
      </w:r>
    </w:p>
    <w:p>
      <w:pPr>
        <w:pStyle w:val="Normal"/>
        <w:rPr/>
      </w:pPr>
      <w:r>
        <w:t>The following static list families are represented in Appendix E: media extensions, FLAC tag extensions, Phase 1 pruned directories, wrapper patterns, setlist candidate patterns, housekeeping rejection patterns, checksum patterns, date patterns, month aliases, state codes, state aliases, country aliases, city prefix terms, multipart city prefixes, qualifier labels, 24-bit detection patterns, technical artist-noise terms, SQLite table requirements, metadata source names, CLI/GUI enumerations, boolean parser values, and log prefixes.</w:t>
      </w:r>
    </w:p>
    <w:p>
      <w:pPr>
        <w:pStyle w:val="Normal"/>
        <w:rPr/>
      </w:pPr>
      <w:r>
        <w:t>Runtime containers such as empty caches, per-run result lists, and local accumulators are intentionally not represented as static requirements lists.</w:t>
      </w:r>
    </w:p>
    <w:p>
      <w:pPr>
        <w:pStyle w:val="Heading1"/>
        <w:rPr/>
      </w:pPr>
      <w:r>
        <w:t>Appendix G - Artist Database Schema</w:t>
      </w:r>
    </w:p>
    <w:p>
      <w:pPr>
        <w:pStyle w:val="Normal"/>
        <w:rPr/>
      </w:pPr>
      <w:r>
        <w:t>SQLite schema</w:t>
      </w:r>
    </w:p>
    <w:p>
      <w:pPr>
        <w:pStyle w:val="Heading2"/>
        <w:rPr/>
      </w:pPr>
      <w:r>
        <w:t>Table: artists</w:t>
      </w:r>
    </w:p>
    <w:p>
      <w:pPr>
        <w:pStyle w:val="Normal"/>
        <w:rPr/>
      </w:pPr>
      <w:r>
        <w:t>artist_id INTEGER PRIMARY KEY</w:t>
      </w:r>
    </w:p>
    <w:p>
      <w:pPr>
        <w:pStyle w:val="Normal"/>
        <w:rPr/>
      </w:pPr>
      <w:r>
        <w:t>source_row_number INTEGER NOT NULL UNIQUE</w:t>
      </w:r>
    </w:p>
    <w:p>
      <w:pPr>
        <w:pStyle w:val="Normal"/>
        <w:rPr/>
      </w:pPr>
      <w:r>
        <w:t>master_name TEXT NOT NULL</w:t>
      </w:r>
    </w:p>
    <w:p>
      <w:pPr>
        <w:pStyle w:val="ListBullet"/>
        <w:numPr>
          <w:ilvl w:val="0"/>
          <w:numId w:val="1"/>
        </w:numPr>
        <w:rPr/>
      </w:pPr>
      <w:r>
        <w:t>One row per source CSV row.</w:t>
      </w:r>
    </w:p>
    <w:p>
      <w:pPr>
        <w:pStyle w:val="ListBullet"/>
        <w:numPr>
          <w:ilvl w:val="0"/>
          <w:numId w:val="1"/>
        </w:numPr>
        <w:rPr/>
      </w:pPr>
      <w:r>
        <w:t>source_row_number is the original line number in the input file.</w:t>
      </w:r>
    </w:p>
    <w:p>
      <w:pPr>
        <w:pStyle w:val="ListBullet"/>
        <w:numPr>
          <w:ilvl w:val="0"/>
          <w:numId w:val="1"/>
        </w:numPr>
        <w:rPr/>
      </w:pPr>
      <w:r>
        <w:t>master_name is the first cell of the CSV row.</w:t>
      </w:r>
    </w:p>
    <w:p>
      <w:pPr>
        <w:pStyle w:val="Heading2"/>
        <w:rPr/>
      </w:pPr>
      <w:r>
        <w:t>Table: aliases</w:t>
      </w:r>
    </w:p>
    <w:p>
      <w:pPr>
        <w:pStyle w:val="Normal"/>
        <w:rPr/>
      </w:pPr>
      <w:r>
        <w:t>alias_id INTEGER PRIMARY KEY</w:t>
      </w:r>
    </w:p>
    <w:p>
      <w:pPr>
        <w:pStyle w:val="Normal"/>
        <w:rPr/>
      </w:pPr>
      <w:r>
        <w:t>artist_id INTEGER NOT NULL</w:t>
      </w:r>
    </w:p>
    <w:p>
      <w:pPr>
        <w:pStyle w:val="Normal"/>
        <w:rPr/>
      </w:pPr>
      <w:r>
        <w:t>alias_text TEXT NOT NULL</w:t>
      </w:r>
    </w:p>
    <w:p>
      <w:pPr>
        <w:pStyle w:val="Normal"/>
        <w:rPr/>
      </w:pPr>
      <w:r>
        <w:t>alias_order INTEGER NOT NULL</w:t>
      </w:r>
    </w:p>
    <w:p>
      <w:pPr>
        <w:pStyle w:val="Normal"/>
        <w:rPr/>
      </w:pPr>
      <w:r>
        <w:t>Foreign key: artist_id -&gt; artists.artist_id</w:t>
      </w:r>
    </w:p>
    <w:p>
      <w:pPr>
        <w:pStyle w:val="ListBullet"/>
        <w:numPr>
          <w:ilvl w:val="0"/>
          <w:numId w:val="1"/>
        </w:numPr>
        <w:rPr/>
      </w:pPr>
      <w:r>
        <w:t>One row per alias cell from the source CSV.</w:t>
      </w:r>
    </w:p>
    <w:p>
      <w:pPr>
        <w:pStyle w:val="ListBullet"/>
        <w:numPr>
          <w:ilvl w:val="0"/>
          <w:numId w:val="1"/>
        </w:numPr>
        <w:rPr/>
      </w:pPr>
      <w:r>
        <w:t>alias_order preserves the alias position within the source row, starting at 1.</w:t>
      </w:r>
    </w:p>
    <w:p>
      <w:pPr>
        <w:pStyle w:val="Heading2"/>
        <w:rPr/>
      </w:pPr>
      <w:r>
        <w:t>Table: terms</w:t>
      </w:r>
    </w:p>
    <w:p>
      <w:pPr>
        <w:pStyle w:val="Normal"/>
        <w:rPr/>
      </w:pPr>
      <w:r>
        <w:t>term_id INTEGER PRIMARY KEY</w:t>
      </w:r>
    </w:p>
    <w:p>
      <w:pPr>
        <w:pStyle w:val="Normal"/>
        <w:rPr/>
      </w:pPr>
      <w:r>
        <w:t>artist_id INTEGER NOT NULL</w:t>
      </w:r>
    </w:p>
    <w:p>
      <w:pPr>
        <w:pStyle w:val="Normal"/>
        <w:rPr/>
      </w:pPr>
      <w:r>
        <w:t>term_text TEXT NOT NULL</w:t>
      </w:r>
    </w:p>
    <w:p>
      <w:pPr>
        <w:pStyle w:val="Normal"/>
        <w:rPr/>
      </w:pPr>
      <w:r>
        <w:t>term_type TEXT NOT NULL CHECK(term_type IN ('master', 'alias'))</w:t>
      </w:r>
    </w:p>
    <w:p>
      <w:pPr>
        <w:pStyle w:val="Normal"/>
        <w:rPr/>
      </w:pPr>
      <w:r>
        <w:t>term_order INTEGER NOT NULL</w:t>
      </w:r>
    </w:p>
    <w:p>
      <w:pPr>
        <w:pStyle w:val="Normal"/>
        <w:rPr/>
      </w:pPr>
      <w:r>
        <w:t>Foreign key: artist_id -&gt; artists.artist_id</w:t>
      </w:r>
    </w:p>
    <w:p>
      <w:pPr>
        <w:pStyle w:val="ListBullet"/>
        <w:numPr>
          <w:ilvl w:val="0"/>
          <w:numId w:val="1"/>
        </w:numPr>
        <w:rPr/>
      </w:pPr>
      <w:r>
        <w:t>This table flattens the master name and aliases into one searchable list.</w:t>
      </w:r>
    </w:p>
    <w:p>
      <w:pPr>
        <w:pStyle w:val="ListBullet"/>
        <w:numPr>
          <w:ilvl w:val="0"/>
          <w:numId w:val="1"/>
        </w:numPr>
        <w:rPr/>
      </w:pPr>
      <w:r>
        <w:t>term_type is "master" for the master name and "alias" for alias rows.</w:t>
      </w:r>
    </w:p>
    <w:p>
      <w:pPr>
        <w:pStyle w:val="ListBullet"/>
        <w:numPr>
          <w:ilvl w:val="0"/>
          <w:numId w:val="1"/>
        </w:numPr>
        <w:rPr/>
      </w:pPr>
      <w:r>
        <w:t>term_order is 0 for the master name and matches alias_order for aliases.</w:t>
      </w:r>
    </w:p>
    <w:p>
      <w:pPr>
        <w:pStyle w:val="Heading2"/>
        <w:rPr/>
      </w:pPr>
      <w:r>
        <w:t>Indexes</w:t>
      </w:r>
    </w:p>
    <w:p>
      <w:pPr>
        <w:pStyle w:val="Normal"/>
        <w:rPr/>
      </w:pPr>
      <w:r>
        <w:t>idx_artists_master_name on artists(master_name)</w:t>
      </w:r>
    </w:p>
    <w:p>
      <w:pPr>
        <w:pStyle w:val="Normal"/>
        <w:rPr/>
      </w:pPr>
      <w:r>
        <w:t>idx_aliases_artist_id on aliases(artist_id)</w:t>
      </w:r>
    </w:p>
    <w:p>
      <w:pPr>
        <w:pStyle w:val="Normal"/>
        <w:rPr/>
      </w:pPr>
      <w:r>
        <w:t>idx_aliases_alias_text on aliases(alias_text)</w:t>
      </w:r>
    </w:p>
    <w:p>
      <w:pPr>
        <w:pStyle w:val="Normal"/>
        <w:rPr/>
      </w:pPr>
      <w:r>
        <w:t>idx_terms_artist_id on terms(artist_id)</w:t>
      </w:r>
    </w:p>
    <w:p>
      <w:pPr>
        <w:pStyle w:val="Normal"/>
        <w:rPr/>
      </w:pPr>
      <w:r>
        <w:t>idx_terms_term_text on terms(term_text)</w:t>
      </w:r>
    </w:p>
    <w:p>
      <w:pPr>
        <w:pStyle w:val="Heading2"/>
        <w:rPr/>
      </w:pPr>
      <w:r>
        <w:t>GUI myTLO reference</w:t>
      </w:r>
    </w:p>
    <w:p>
      <w:pPr>
        <w:pStyle w:val="Normal"/>
        <w:rPr/>
      </w:pPr>
      <w:r>
        <w:t>See Section 2.3 for the canonical --myTLO precedence and GUI visibility rule.</w:t>
      </w:r>
    </w:p>
    <w:p>
      <w:pPr>
        <w:pStyle w:val="Heading1"/>
        <w:rPr/>
      </w:pPr>
      <w:r>
        <w:t>Appendix H - eTreeDB Venue and Location Lookup</w:t>
      </w:r>
    </w:p>
    <w:p>
      <w:pPr>
        <w:pStyle w:val="Normal"/>
        <w:rPr/>
      </w:pPr>
      <w:r>
        <w:t>This appendix documents the eTreeDB interface used when --etree-lookup is enabled. Section 9 is canonical for source precedence, usable-result criteria, fill-blanks-only behavior, and disagreement handling.</w:t>
      </w:r>
    </w:p>
    <w:p>
      <w:pPr>
        <w:pStyle w:val="Normal"/>
        <w:rPr/>
      </w:pPr>
      <w:r>
        <w:t>Input: Artist and Date. Date must be normalized as yyyy-mm-dd before lookup.</w:t>
      </w:r>
    </w:p>
    <w:p>
      <w:pPr>
        <w:pStyle w:val="Heading2"/>
        <w:rPr/>
      </w:pPr>
      <w:r>
        <w:t>Lookup behavior</w:t>
      </w:r>
    </w:p>
    <w:p>
      <w:pPr>
        <w:pStyle w:val="ListBullet"/>
        <w:numPr>
          <w:ilvl w:val="0"/>
          <w:numId w:val="1"/>
        </w:numPr>
        <w:rPr/>
      </w:pPr>
      <w:r>
        <w:t>Primary lookup resolves the exact artist using artistsRoot(name eq), then uses the nested Artist.performances relationship filtered by year.</w:t>
      </w:r>
    </w:p>
    <w:p>
      <w:pPr>
        <w:pStyle w:val="ListBullet"/>
        <w:numPr>
          <w:ilvl w:val="0"/>
          <w:numId w:val="1"/>
        </w:numPr>
        <w:rPr/>
      </w:pPr>
      <w:r>
        <w:t>The implementation must not use top-level performances(...) as either the primary lookup or fallback path.</w:t>
      </w:r>
    </w:p>
    <w:p>
      <w:pPr>
        <w:pStyle w:val="ListBullet"/>
        <w:numPr>
          <w:ilvl w:val="0"/>
          <w:numId w:val="1"/>
        </w:numPr>
        <w:rPr/>
      </w:pPr>
      <w:r>
        <w:t>If the query fails or no matching performance remains after local filtering, record an observation and continue according to Section 9.</w:t>
      </w:r>
    </w:p>
    <w:p>
      <w:pPr>
        <w:pStyle w:val="Heading2"/>
        <w:rPr/>
      </w:pPr>
      <w:r>
        <w:t>Lookup sequence</w:t>
      </w:r>
    </w:p>
    <w:p>
      <w:pPr>
        <w:pStyle w:val="Normal"/>
        <w:rPr/>
      </w:pPr>
      <w:r>
        <w:t>Step 1: Resolve the exact artist using artistsRoot.name eq. The lookup intentionally avoids contains matching so that related performers do not satisfy the request.</w:t>
      </w:r>
    </w:p>
    <w:p>
      <w:pPr>
        <w:pStyle w:val="Normal"/>
        <w:rPr/>
      </w:pPr>
      <w:r>
        <w:t>Step 2: Query the nested performances relationship from the exact artist node and filter that relationship by year.</w:t>
      </w:r>
    </w:p>
    <w:p>
      <w:pPr>
        <w:pStyle w:val="Normal"/>
        <w:rPr/>
      </w:pPr>
      <w:r>
        <w:t>Step 3: Normalize returned Performance.date strings locally because eTreeDB exposes date as a String.</w:t>
      </w:r>
    </w:p>
    <w:p>
      <w:pPr>
        <w:pStyle w:val="Normal"/>
        <w:rPr/>
      </w:pPr>
      <w:r>
        <w:t>Step 4: Select nested performances whose normalized date equals the requested yyyy-mm-dd date.</w:t>
      </w:r>
    </w:p>
    <w:p>
      <w:pPr>
        <w:pStyle w:val="Normal"/>
        <w:rPr/>
      </w:pPr>
      <w:r>
        <w:t>Returned metadata fields used by TLO for venue/location lookup: venue, city, state, normalized date, performance ID, and artist. Returned setlist fields used only for tagging title fallback: set1, set2, and set3.</w:t>
      </w:r>
    </w:p>
    <w:p>
      <w:pPr>
        <w:pStyle w:val="Normal"/>
        <w:rPr/>
      </w:pPr>
      <w:r>
        <w:t>For eTreeDB tag-title fallback, normalize set1/set2/set3 in set number order. Convert &amp;gt and &amp;gt; to &gt;, remove encore-only marker lines, split single-line comma-delimited song lists into individual titles, normalize or assign continuous leading track numbers, and continue numbering across sets. Use the eTreeDB titles only when the number of parsed titles equals the number of music files being tagged; otherwise log the mismatch and continue with existing fallback behavior.</w:t>
      </w:r>
    </w:p>
    <w:p>
      <w:pPr>
        <w:pStyle w:val="Normal"/>
        <w:rPr/>
      </w:pPr>
      <w:r>
        <w:t>Application of returned venue/location fields follows Section 9. eTreeDB fills blank fields only, preserves existing metadata, and records non-equivalent disagreements as observations.</w:t>
      </w:r>
    </w:p>
    <w:p>
      <w:pPr>
        <w:pStyle w:val="Normal"/>
        <w:rPr/>
      </w:pPr>
      <w:r>
        <w:t>The eTreeDB GraphQL user agent must identify this integration as tlo-etreedb-venue-lookup/6.0.</w:t>
      </w:r>
    </w:p>
    <w:p>
      <w:pPr>
        <w:pStyle w:val="Heading1"/>
        <w:rPr/>
      </w:pPr>
      <w:r>
        <w:t>Appendix I - setlist.fm Venue and Location Lookup</w:t>
      </w:r>
    </w:p>
    <w:p>
      <w:pPr>
        <w:pStyle w:val="Normal"/>
        <w:rPr/>
      </w:pPr>
      <w:r>
        <w:t>This appendix documents the setlist.fm last-resort service interface. Section 9 is canonical for source precedence, lookup eligibility, usable-result criteria, fill-blanks-only behavior, and disagreement handling.</w:t>
      </w:r>
    </w:p>
    <w:p>
      <w:pPr>
        <w:pStyle w:val="ListBullet"/>
      </w:pPr>
      <w:r>
        <w:t>The setlist.fm API key is read from the SETLISTFM_API_KEY environment variable. The key must not be exposed in logs or user-facing output. If the key is missing or a request fails, record an observation and continue with the existing metadata.</w:t>
      </w:r>
    </w:p>
    <w:p>
      <w:pPr>
        <w:pStyle w:val="Normal"/>
        <w:rPr/>
      </w:pPr>
      <w:r>
        <w:t>See Section 9 for the canonical --setlistfm-lookup dependency, command-line startup-error behavior, and usable-result definition.</w:t>
      </w:r>
    </w:p>
    <w:p>
      <w:pPr>
        <w:pStyle w:val="Normal"/>
        <w:rPr/>
      </w:pPr>
      <w:r>
        <w:t>Input: Artist and Date. Date must be normalized as yyyy-mm-dd before lookup.</w:t>
      </w:r>
    </w:p>
    <w:p>
      <w:pPr>
        <w:pStyle w:val="Heading2"/>
        <w:rPr/>
      </w:pPr>
      <w:r>
        <w:t>Lookup behavior</w:t>
      </w:r>
    </w:p>
    <w:p>
      <w:pPr>
        <w:pStyle w:val="ListBullet"/>
        <w:numPr>
          <w:ilvl w:val="0"/>
          <w:numId w:val="1"/>
        </w:numPr>
        <w:rPr/>
      </w:pPr>
      <w:r>
        <w:t>Invocation position and non-overwrite behavior follow Section 9. setlist.fm is queried only when enabled, required Artist/Date inputs exist, and eTreeDB did not return a usable venue/location result for the current show. Compliant mode has no selected-setlist metadata stage.</w:t>
      </w:r>
    </w:p>
    <w:p>
      <w:pPr>
        <w:pStyle w:val="ListBullet"/>
        <w:numPr>
          <w:ilvl w:val="0"/>
          <w:numId w:val="1"/>
        </w:numPr>
        <w:rPr/>
      </w:pPr>
      <w:r>
        <w:t>The API date is converted from yyyy-mm-dd to dd-MM-yyyy.</w:t>
      </w:r>
    </w:p>
    <w:p>
      <w:pPr>
        <w:pStyle w:val="ListBullet"/>
        <w:numPr>
          <w:ilvl w:val="0"/>
          <w:numId w:val="1"/>
        </w:numPr>
        <w:rPr/>
      </w:pPr>
      <w:r>
        <w:t>The request searches /search/setlists using artistName and date.</w:t>
      </w:r>
    </w:p>
    <w:p>
      <w:pPr>
        <w:pStyle w:val="ListBullet"/>
        <w:numPr>
          <w:ilvl w:val="0"/>
          <w:numId w:val="1"/>
        </w:numPr>
        <w:rPr/>
      </w:pPr>
      <w:r>
        <w:t>Returned setlists are parsed for artist, event date, venue name, city name, state, state code, country name, country code, setlist URL, and venue URL.</w:t>
      </w:r>
    </w:p>
    <w:p>
      <w:pPr>
        <w:pStyle w:val="Heading2"/>
        <w:rPr/>
      </w:pPr>
      <w:r>
        <w:t>Artist matching</w:t>
      </w:r>
    </w:p>
    <w:p>
      <w:pPr>
        <w:pStyle w:val="ListBullet"/>
        <w:numPr>
          <w:ilvl w:val="0"/>
          <w:numId w:val="1"/>
        </w:numPr>
        <w:rPr/>
      </w:pPr>
      <w:r>
        <w:t>Normalize artist names by case-folding and removing punctuation. Prefer returned results whose normalized artist exactly matches the requested artist. If no exact match exists, use the returned result list as-is.</w:t>
      </w:r>
    </w:p>
    <w:p>
      <w:pPr>
        <w:pStyle w:val="Heading2"/>
        <w:rPr/>
      </w:pPr>
      <w:r>
        <w:t>Show-name construction</w:t>
      </w:r>
    </w:p>
    <w:p>
      <w:pPr>
        <w:pStyle w:val="ListBullet"/>
        <w:numPr>
          <w:ilvl w:val="0"/>
          <w:numId w:val="1"/>
        </w:numPr>
        <w:rPr/>
      </w:pPr>
      <w:r>
        <w:t>For United States results, use stateCode when available and create Artist Date Venue City StateCode.</w:t>
      </w:r>
    </w:p>
    <w:p>
      <w:pPr>
        <w:pStyle w:val="ListBullet"/>
        <w:numPr>
          <w:ilvl w:val="0"/>
          <w:numId w:val="1"/>
        </w:numPr>
        <w:rPr/>
      </w:pPr>
      <w:r>
        <w:t>For non-United States results, create Artist Date Venue City Country.</w:t>
      </w:r>
    </w:p>
    <w:p>
      <w:pPr>
        <w:pStyle w:val="Heading2"/>
        <w:rPr/>
      </w:pPr>
      <w:r>
        <w:t>Request throttling</w:t>
      </w:r>
    </w:p>
    <w:p>
      <w:pPr>
        <w:pStyle w:val="ListBullet"/>
      </w:pPr>
      <w:r>
        <w:t>The source-bundle setlistFM.py compatibility CLI must delegate to tlo_setlistfm_lookup rather than reimplement the API. It therefore uses the same TLOHome coordination state, rate limits, quotas, lock deadline, response parsing, and bounded error handling as inventory-time setlist.fm lookup.</w:t>
      </w:r>
    </w:p>
    <w:p>
      <w:pPr>
        <w:pStyle w:val="ListBullet"/>
        <w:numPr>
          <w:ilvl w:val="0"/>
          <w:numId w:val="1"/>
        </w:numPr>
        <w:rPr/>
      </w:pPr>
      <w:r>
        <w:t>Normal setlist.fm access must be rate-limited to at most one request every 600 milliseconds across local inventory worker processes. When both setlist.fm and setlist.fm upgrade are selected, upgraded access instead permits at most 14 requests per second, implemented as a minimum interval of 1/14 second between reservations. The interprocess rate-limit lock must not be held while a worker sleeps before its own request. Coordination state must be stored under TLOHome/logs/setlistfm-state, not in the shared system temporary directory. State updates must use same-directory temporary files and atomic replacement, and symlinked state or lock paths must be rejected.</w:t>
      </w:r>
    </w:p>
    <w:p>
      <w:pPr>
        <w:pStyle w:val="ListBullet"/>
        <w:numPr>
          <w:ilvl w:val="0"/>
          <w:numId w:val="1"/>
        </w:numPr>
        <w:rPr/>
      </w:pPr>
      <w:r>
        <w:t>Normal setlist.fm access remains capped at 1,400 calls per inventory run. When upgraded access is active, the 1,400-per-run cap is replaced by a shared limit of 48,000 requests per UTC calendar day across local TLO runs using the same TLOHome coordination state. A worker may wait no more than 20 seconds to acquire the interprocess reservation lock. On timeout or quota exhaustion, the setlist.fm lookup must record an observation and allow inventory to continue without that lookup rather than wait indefinitely.</w:t>
      </w:r>
    </w:p>
    <w:p>
      <w:pPr>
        <w:pStyle w:val="Heading1"/>
      </w:pPr>
      <w:r>
        <w:t>20. Builds 386-391 Metadata, GUI, Nested-Show, and Corruption Requirements</w:t>
      </w:r>
    </w:p>
    <w:p>
      <w:pPr>
        <w:pStyle w:val="Heading2"/>
      </w:pPr>
      <w:r>
        <w:t>20.1 Main Inventory Console Horizontal Scrolling</w:t>
      </w:r>
    </w:p>
    <w:p>
      <w:r>
        <w:t>The main Full Inventory console shall be a non-wrapping text area with its existing vertical scrolling plus a horizontal scrollbar along the bottom. Long paths/log lines must remain on one line and be horizontally scrollable.</w:t>
      </w:r>
    </w:p>
    <w:p>
      <w:pPr>
        <w:pStyle w:val="Heading2"/>
      </w:pPr>
      <w:r>
        <w:t>20.2 Non-compliant String1 - String2 Precedence</w:t>
      </w:r>
    </w:p>
    <w:p>
      <w:r>
        <w:t>Generic String1 - String2 is a fallback, not an immediate commercial-release conclusion. Preserve the explicit leading-year Artist - Album commercial-release form, but otherwise inspect String2 for a complete performance date and conservative state/country-anchored venue/location evidence before storing ALBUM_NAME.</w:t>
      </w:r>
    </w:p>
    <w:p>
      <w:r>
        <w:t>False state-word matches inside ordinary album titles must not qualify as location evidence when unexplained trailing text remains. Example: A Spanner In The Works remains an album fallback rather than being interpreted as Indiana.</w:t>
      </w:r>
    </w:p>
    <w:p>
      <w:pPr>
        <w:pStyle w:val="Heading2"/>
      </w:pPr>
      <w:r>
        <w:t>20.3 Compact Setlist Artist/Date Header Lines</w:t>
      </w:r>
    </w:p>
    <w:p>
      <w:r>
        <w:t>Selected setlist headers may contain Artist Date on one line or Artist Date Venue on one line. Use the recognized date token as the anchor: the short header-like text before it is artist evidence and the short/known venue text after it is optional venue evidence. Existing prose, track-list, and Artist DB confirmation safeguards still apply.</w:t>
      </w:r>
    </w:p>
    <w:p>
      <w:pPr>
        <w:pStyle w:val="Heading2"/>
      </w:pPr>
      <w:r>
        <w:t>20.4 FLAC ALBUMARTIST Precedence</w:t>
      </w:r>
    </w:p>
    <w:p>
      <w:r>
        <w:t>FLAC ALBUMARTIST is considered before FLAC ARTIST within the tag-evidence tier. Both remain low-priority artist evidence and must not displace stronger path/setlist evidence under the current artist precedence rules.</w:t>
      </w:r>
    </w:p>
    <w:p>
      <w:pPr>
        <w:pStyle w:val="Heading2"/>
      </w:pPr>
      <w:r>
        <w:t>20.5 Nested Opening Acts</w:t>
      </w:r>
    </w:p>
    <w:p>
      <w:r>
        <w:t>Phase 1 and Phase 2/3 shall continue descending into child directories after a parent directory containing music has been recorded. A nested music folder can therefore be inventoried independently as an opening act. Existing wrapper/part aggregation remains authoritative for CD, Disc, Set, volume, and other recognized multi-part structures.</w:t>
      </w:r>
    </w:p>
    <w:p>
      <w:pPr>
        <w:pStyle w:val="Heading2"/>
      </w:pPr>
      <w:r>
        <w:t>20.6 Acceptable Corruption Percentage</w:t>
      </w:r>
    </w:p>
    <w:p>
      <w:pPr/>
      <w:r>
        <w:t>Add a main-window text box labeled acceptable corruption % and a CLI option --acceptable-corruption-percent. Accept integers 0 through 100 inclusive only; default 100.</w:t>
      </w:r>
    </w:p>
    <w:p>
      <w:pPr/>
      <w:r>
        <w:t>Before rename, Tag Copy, Copy/Delete Original, Tag in Place, or other show-folder mutation, inspect the directly inventoried logical-show audio files for readable audio metadata. Let total be the number of inventoried audio files and corrupt be files that cannot be opened/recognized by the audio parser. Compute the percentage from the original pre-removal scan. The configured threshold removes the logical show only when corrupt * 100 &gt; acceptable_percent * total; equality is acceptable.</w:t>
      </w:r>
    </w:p>
    <w:p>
      <w:pPr/>
      <w:r>
        <w:t>If every inventoried audio file in the logical show is corrupt, move MAIN_DIR_PATH to the operating-system Trash/Recycle Bin regardless of acceptable corruption %. If the configured threshold is exceeded, also move MAIN_DIR_PATH to Trash/Recycle Bin. Never permanently delete as a fallback. Only after the whole-show Trash/Recycle Bin move succeeds may the show/metadata/setlist/bootlist entry be omitted from inventory. Log REMOVED_CORRUPTION with path, counts, percentage, threshold, and reason.</w:t>
      </w:r>
    </w:p>
    <w:p>
      <w:pPr/>
      <w:r>
        <w:t>When the logical show remains, evaluate each inventoried physical music directory separately. If every directly contained audio file in one such music directory is corrupt, move that music directory itself to Trash/Recycle Bin regardless of acceptable corruption %. Do not separately Trash files already contained by a successfully trashed music directory. To protect healthy nested material, do not trash an all-corrupt candidate directory when it is an ancestor of another inventoried music directory; retain that directory and apply individual corrupt-file handling instead. Every other detected corrupt audio file must be sent individually to Trash/Recycle Bin before later tag/copy/rename processing continues.</w:t>
      </w:r>
    </w:p>
    <w:p>
      <w:pPr/>
      <w:r>
        <w:t>After successful folder/file Trash operations, remove the affected paths from the in-memory group and ShowMetadata records so later processing cannot fall back to paths that no longer exist. If a required whole-show Trash operation fails, log CORRUPTION_REMOVAL_FAILED and keep the show eligible for inventory, but still make a best-effort attempt to Trash its detected corrupt files individually. If an all-corrupt music-directory move fails, log CORRUPT_FOLDER_TRASH_FAILED and likewise attempt its corrupt files individually. If an individual file move fails, log CORRUPT_FILE_TRASH_FAILED. No failure path may permanently delete content as a fallback.</w:t>
      </w:r>
    </w:p>
    <w:p>
      <w:pPr/>
      <w:r>
        <w:t>Full Inventory Dry Run must not move anything. It reports whether TLO would Trash the whole logical-show folder, one or more all-corrupt music folders, and/or individual corrupt files, including corrupt/total counts and threshold information. Regression coverage must include all-corrupt logical show with acceptable=100, threshold equality and exceedance, an all-corrupt Disc/Set/Volume folder beside a healthy sibling, partial corruption that removes only bad files, no corruption, and Trash-failure fallback behavior.</w:t>
      </w:r>
    </w:p>
    <w:p>
      <w:pPr/>
      <w:r>
        <w:t>Build 398 revision: corruption cleanup uses one pre-removal audio-file snapshot; an all-corrupt logical show is always sent to Trash/Recycle Bin; when a logical show remains, any all-corrupt physical music directory is sent to Trash/Recycle Bin when safe to remove independently, and every other detected corrupt audio file is sent there individually. Successful removals must be pruned from active in-memory paths before later tag/copy/rename work.</w:t>
      </w:r>
    </w:p>
    <w:p>
      <w:pPr/>
      <w:r>
        <w:t>Build 399 revision: Add Shows Check for Duplicates now distinguishes same-partition matches from matches that exist only on another storage partition. Cross-partition-only matches are retained as numbered `(pdupNN)` potential duplicates instead of being sent to dups for a comparison that cannot be performed; same-partition/unknown-partition matches retain the established duplicate review and copy/alternate checks.</w:t>
      </w:r>
    </w:p>
    <w:p>
      <w:r>
        <w:t>Build 400 revision: Corruption handling is fail-safe against unreadable media. A malformed or unrecognized audio stream is positively classified as corrupt, while PermissionError, OSError/IOError, memory/resource failures, directory-listing failures, and unexpected validator failures are classified as unverifiable. If any audio path or music directory in a logical show is unverifiable, TLO performs no corruption-driven Trash/Recycle operation and skips rename, tag, copy/delete, and SHN-conversion mutations for that logical show; ordinary inventory metadata may still be recorded. The Build 398 rule remains unchanged for proven corruption: a physical folder whose complete direct audio population is positively proven corrupt is removed regardless of acceptable corruption %, and positively corrupt individual files are removed when the logical show remains. On Windows, corruption Trash uses IFileOperation with FOFX_RECYCLEONDELETE and FOFX_EARLYFAILURE rather than SHFileOperationW; inability to recycle is an error and there is no permanent-delete fallback. Dry Run reports an unverifiable corruption state and WOULD_NOT_TRASH rather than presenting unreadability as corruption.</w:t>
      </w:r>
    </w:p>
    <w:p>
      <w:r>
        <w:t>Build 401 revision: Setlist inference and replacement cleanup now recognize only an exact normalized setlist base plus the canonical `(altN)` collision suffix. A show whose normalized name merely starts with another show name is not considered part of that setlist family, and filenames belonging to retained rows are protected from replacement cleanup. The same family matcher is used by incremental setlist review. Directory enumeration that previously constructed glob patterns from TLOHome/log/setlist paths now opens the directory literally with os.scandir and applies wildcard matching only to basenames. This applies to postprocess metadata/conflict/setlist enumeration, Research meta/comp logs, Reverse Copy/Delete tag-log discovery, and incremental setlist enumeration, so legal directory characters such as `[` and `]` cannot silently alter the search pattern.</w:t>
      </w:r>
    </w:p>
    <w:p>
      <w:r>
        <w:t>Build 402 revision: Irreversible cross-partition Copy/Delete and Reverse Copy/Delete restoration require exact recursive directory identity before deleting the source. Verification retains the existing relative-path/size/empty-directory checks and additionally requires SHA-256 equality for every corresponding file. Same-partition Copy/Delete remains a filesystem rename/move and does not perform size or hash verification; ordinary Tag Copy retains its size/structure verification because the source remains. A stat/read/hash failure is a failed verification, never an equal sentinel. Forward copy operations use an owned temporary sibling and clean up only paths created by that operation before deletion begins. Reverse restore validates containment before creating parent directories, copies cross-partition restores to an owned temporary sibling, verifies that temporary tree, rechecks that the original path is still absent, and then renames the verified tree into place before deleting the moved copy. Exception rollback never removes a pre-existing or newly appeared original directory.</w:t>
      </w:r>
    </w:p>
    <w:p>
      <w:r>
        <w:t>Build 403 revision: Duplicate-repair validation is tri-state. A completed decoder failure may identify a corrupt FLAC, while timeout, I/O/resource, and validator-infrastructure failures are unverifiable and must not trigger destructive duplicate decisions. Healthy replacement audio is staged and byte-verified before atomic installation. A kept folder with any unrepaired or unverifiable FLAC retains its duplicate candidates. Incremental Delete New / Keep Old uses the fail-closed Trash/Recycle Bin path rather than permanent recursive deletion. The generated Windows incremental batch-file writer is unchanged by explicit project decision.</w:t>
      </w:r>
    </w:p>
    <w:p>
      <w:r>
        <w:t>Build 404 revision: Update downloads must revalidate every redirect target against the GitHub HTTPS host allowlist and must fail closed unless the selected release asset supplies a valid SHA-256 digest that matches the downloaded bytes. Existing downloaded files are reusable only when size and digest match. Windows custom malware-scanner templates remain trusted build configuration, but TLO must not interpolate the artifact path directly into cmd.exe command text; it supplies the path through a dedicated environment variable and inserts only the quoted variable reference into the template.</w:t>
      </w:r>
    </w:p>
    <w:p>
      <w:r>
        <w:t>Build 405 revision: Cancellation cleanup has one authoritative token set: newly_allocated_log_tokens. GUI and CLI cancellation delete only those newly allocated tokenized logs; the redundant active_log_tokens state is removed so it cannot later drift into a broader meaning. delete_logs_for_tokens validates the complete token list as strictly alphanumeric before deleting anything and raises on malformed tokens, preventing path traversal or punctuation from becoming a log-deletion path. On Linux CI, the pytest suite attempts to start Xvfb automatically when no DISPLAY exists so Tkinter behavior tests execute; if display-dependent tests still skip, the terminal summary emits a prominent CI COVERAGE WARNING so the run is not mistaken for complete GUI coverage.</w:t>
      </w:r>
    </w:p>
    <w:p>
      <w:pPr/>
      <w:r>
        <w:rPr>
          <w:b/>
        </w:rPr>
        <w:t xml:space="preserve">Build 406 revision: </w:t>
      </w:r>
      <w:r>
        <w:t>Regression-fixture stabilization only; application runtime behavior is unchanged from Build 405. Five historical inventory-orchestration tests use intentionally tiny placeholder byte strings with a .flac suffix while testing unidentified-show protection, Copy/Delete transfer, Rename Compliantly, and Artist-in-Album behavior. Because Build 398+ correctly identifies those placeholders as corrupt, the tests now explicitly neutralize corruption classification for those five non-corruption scenarios. They do not suppress or mock the Trash backend itself, so corruption/Trash behavior remains covered by the dedicated corruption tests. This makes the suite deterministic on Linux hosts where gio trash is available as well as hosts where Trash is unavailable.</w:t>
      </w:r>
    </w:p>
    <w:p>
      <w:r>
        <w:rPr>
          <w:b/>
        </w:rPr>
        <w:t xml:space="preserve">Build 407 revision: </w:t>
      </w:r>
      <w:r>
        <w:t>The terminal Artist DB suffix fallback now treats common All Star/All Stars spellings (space, dash, or no separator between All and Star; singular/plural; case-insensitive) the same as terminal Band while preserving full-name-first and unique-shorter-match-only safeguards. The Research input Search action remains the live default for Return/keypad Enter whenever the input dialog is active. Research results remain read-only but add window-level Ctrl-A, a Search button equivalent to Ctrl-F, and a Search for dialog with mutually exclusive Forward/Backwards direction controls (Forward default), repeated case-insensitive directional searching, and wraparound.</w:t>
      </w:r>
    </w:p>
    <w:p>
      <w:r>
        <w:t>Build 408 revision: Setlist song-title sources and existing audio Title tags now treat a complete cleaned title of Title, Titled, or Titles as a generic placeholder, case-insensitively. The affected track remains in its original position and its Title becomes Unknown; longer song names containing those words are not changed.</w:t>
      </w:r>
    </w:p>
    <w:p>
      <w:pPr/>
      <w:r>
        <w:t>Build 409 revision: Numbered track parsing now recognizes a confirmed leading blank track number as Unknown, prevents short numeric-only rows from starting an unstructured fallback block while preserving numeric song names inside an established song block, recognizes compact parenthetical personnel roles and duration summaries as non-song text, and blocks arbitrary unnumbered prose fallback whenever a convincing run of at least three consecutive numbered song rows is present; Build 411 later narrows that gate by requiring exact-count competing candidates to be compared before final selection. The reported Chick Corea &amp; Gary Burton setlist therefore resolves as Unknown, Day Waves, Desert Air, Crystal Silence, Children Song No. 1, and La Fiesta.</w:t>
      </w:r>
    </w:p>
    <w:p>
      <w:pPr/>
      <w:r>
        <w:t>Build 410 revision: Tagging now recognizes collector filename forms such as CJM-Disc01,Track01.flac as disc/track identifiers and orders all disc-1 files before disc-2 files. An explicit unnumbered Setlist/Songs/Tracks section now ends at Notes and other track-list terminators before the numbered parser can reinterpret later 1), 2), 3) prose as songs. The unnumbered-title heuristics preserve legitimate titles such as Thank The Nurse That's Nursing You while retaining explicit thank-you prose termination, and Enc: is normalized as an encore prefix. Regression coverage includes the complete reported 19-song Country Joe 2001-05-26 setlist and punctuation-separated multi-disc filenames.</w:t>
      </w:r>
    </w:p>
    <w:p>
      <w:r>
        <w:t>Build 411 revision: Track-title source selection now compares exact-count local unnumbered candidates before padding a shorter numbered parse. Audio-file count is treated as primary evidence, while matching audio filenames and pre-existing Title tags provide positive-only corroboration for equal-count candidate lists. Non-matches are neutral. Short numbered collector-note blocks embedded in prose can therefore be distinguished from an equal-count contiguous song list without treating absent filename/tag evidence as negative evidence. The Cramps 1984-06-25 regression confirms that three numbered processing notes no longer suppress the actual 17-title list.</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800" w:right="1800" w:gutter="0" w:header="720" w:top="1440" w:footer="72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Aptos" w:hAnsi="Aptos" w:eastAsia="ＭＳ 明朝" w:cs="" w:asciiTheme="minorHAnsi" w:cstheme="minorBidi" w:eastAsiaTheme="minorEastAsia" w:hAnsiTheme="minorHAnsi"/>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TLO</cp:category>
  <dcterms:created xsi:type="dcterms:W3CDTF">2013-12-23T23:15:00Z</dcterms:created>
  <dc:creator>python-docx</dc:creator>
  <dc:description>Build 410: explicit unnumbered setlists terminate before numbered Notes prose; punctuation-separated multi-disc filenames sort by disc then track.</dc:description>
  <cp:keywords>TLO, Inventory, Requirements, v1.4, Build 411, tagging, setlist, track titles</cp:keywords>
  <dc:language>en-US</dc:language>
  <cp:lastModifiedBy/>
  <dcterms:modified xsi:type="dcterms:W3CDTF">2026-08-03T22:32:32Z</dcterms:modified>
  <cp:revision>1</cp:revision>
  <dc:subject>TLO v1.4 Build 411 requirements and development specification</dc:subject>
  <dc:title>TLO Inventory Requirements Working v410</dc:title>
</cp:coreProperties>
</file>