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Consolidated Current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rP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CLI, GUI, Logging, and Boolean Enumerations.</w:t>
      </w:r>
    </w:p>
    <w:p>
      <w:pPr>
        <w:pStyle w:val="Normal"/>
        <w:rPr/>
      </w:pPr>
      <w:r>
        <w:rPr/>
      </w:r>
    </w:p>
    <w:p>
      <w:pPr>
        <w:pStyle w:val="Normal"/>
        <w:rPr/>
      </w:pPr>
      <w:r>
        <w:t>This document defines the current TLO inventory requirements for search paths, accessibility, startup validation, logging, cleanup, CLI behavior, GUI behavior, metadata extraction, aggregation, and appendices. Current document version: v335 (v1.2 Build 335).</w:t>
      </w:r>
    </w:p>
    <w:p>
      <w:pPr>
        <w:pStyle w:val="Normal"/>
        <w:rPr/>
      </w:pPr>
      <w:r>
        <w:rPr/>
        <w:t>Document organization: Sections 1-15 and Appendices A-I are the authoritative current requirements. Settled build-by-build notes have been consolidated into the numbered sections and appendices; superseded notes remain in old-change-logs.zip and are not repeated here.</w:t>
      </w:r>
    </w:p>
    <w:p>
      <w:pPr>
        <w:pStyle w:val="Heading1"/>
        <w:rPr/>
      </w:pPr>
      <w:r>
        <w:rPr/>
        <w:t>1. General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r>
        <w:t xml:space="preserve"> On native Windows, any PowerShell helper used to resolve physical-drive identity must run without creating a visible console or Windows Terminal window.</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a global Tag Copy/Delete Original -- Destination Path override is filled.</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v1.2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rPr/>
        <w:t>Before Phase 1 begins, TLO must preflight any destination that will receive copied or copy/delete original inventory folders. This includes toBeInventoried.txt --$copy and --$copy-delete directives, command-line --$copy and --$copy-delete directives for a single --search-path, Tag Copy destinations, and a filled Tag Copy/Delete Original -- Destination Path.</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rPr/>
        <w:t>A filled Tag Copy/Delete Original -- Destination Path is a global override. When it is present, it overrides all per-path --$copy and --$copy-delete destinations. If no Search Path override is filled, the preflight must compare that one destination against the sum of all accessible roots loaded from toBeInventoried.txt.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rPr/>
        <w:t>For Copy/Delete Original, if the source and destination are on the same filesystem, the operation is a move and the capacity check counts zero additional bytes for that source. Cross-filesystem Copy/Delete Original and ordinary Tag Copy require the full source size.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produce platform-specific end-user release assets in addition to the source bundle and separately delivered current requirements DOCX.</w:t>
      </w:r>
    </w:p>
    <w:p>
      <w:pPr>
        <w:pStyle w:val="ListBullet"/>
        <w:numPr>
          <w:ilvl w:val="0"/>
          <w:numId w:val="1"/>
        </w:numPr>
        <w:rPr/>
      </w:pPr>
      <w:r>
        <w:rP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rPr/>
        <w:t>The release output must include six ZIP assets: complete and update packages for Windows, macOS, and generic Linux. Asset names follow TLO_V&lt;VERSION&gt;Build&lt;BUILD&gt;_complete_Windows.zip, TLO_V&lt;VERSION&gt;Build&lt;BUILD&gt;_complete_Linux.zip, TLO_V&lt;VERSION&gt;Build&lt;BUILD&gt;_complete_macOS.zip, TLO_V&lt;VERSION&gt;Build&lt;BUILD&gt;_update_Windows.zip, TLO_V&lt;VERSION&gt;Build&lt;BUILD&gt;_update_Linux.zip, and TLO_V&lt;VERSION&gt;Build&lt;BUILD&gt;_update_macOS.zip.</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rPr/>
        <w:t>Complete platform ZIPs may include required shared support folders, documentation, starter files, manifests, checksums, scan receipts, and TLO_DBs master/support files required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rP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rP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w:t>
      </w:r>
    </w:p>
    <w:p>
      <w:pPr>
        <w:pStyle w:val="ListBullet"/>
        <w:numPr>
          <w:ilvl w:val="0"/>
          <w:numId w:val="1"/>
        </w:numPr>
        <w:rPr/>
      </w:pPr>
      <w:r>
        <w:rPr/>
        <w:t>A parent directory with multiple child directories is related only when the child directories are all wrapper/common release parts, such as CD1/CD2/CD3, Set 1/Set 2, Disk3, or wrapper-suffixed siblings that share the same stripped release base such as Big Release CD 1 and Big Release CD 2.</w:t>
      </w:r>
    </w:p>
    <w:p>
      <w:pPr>
        <w:pStyle w:val="ListBullet"/>
        <w:numPr>
          <w:ilvl w:val="0"/>
          <w:numId w:val="1"/>
        </w:numPr>
        <w:rPr/>
      </w:pPr>
      <w:r>
        <w:rPr/>
        <w:t>In non-compliant mode, if a music directory visible name is, or ends in, a wrapper-like release-part string such as CD 1, CD1, Disc 1, Disk3, Part 2, Set 1, or similar, check sibling music folders under the common parent for related release parts.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rPr/>
        <w:t>Volume-style release-part suffixes such as (Volume 1), (Vol 2), (Vol. 2), (v.1), and v2 are non-compliant release-part aggregation markers only for collection-style sibling folders under a common parent. The volume siblings aggregate under that parent only when their stripped base names differ, such as separate collection sections or release names.</w:t>
      </w:r>
    </w:p>
    <w:p>
      <w:pPr>
        <w:pStyle w:val="ListBullet"/>
        <w:numPr>
          <w:ilvl w:val="0"/>
          <w:numId w:val="1"/>
        </w:numPr>
        <w:rPr/>
      </w:pPr>
      <w:r>
        <w:rPr/>
        <w:t>Aggregated release-part groups must collect representative media-file paths and representative media extensions from all related part folders and must create only one metadata record and one bootlist row for the logical show.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rPr/>
        <w:t>Search each path component for String1 Date String2 after stripping parenthetical items from the end and trailing whitespace.</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rPr/>
        <w:t>Save all parentheticals as a single string in the metadata field PARENTHETICALS, separated by a single space and preserved in their original order.</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rP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and use that parent as the logical container.</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rPr/>
        <w:t>Non-compliant mode must use venue/location precedence order: path-derived metadata first, eTreeDB second, selected setlist metadata third, and setlist.fm last only when eTreeDB does not return usable venue/location data. The selected setlist text must still be checked for explicit artist labels and for venue/location metadata after eTreeDB and before setlist.fm so it can fill blanks or record non-overwriting differences.</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rPr/>
        <w:t>Compliant mode applies when --compliant is set.</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Compliant Artist Mode controls artist handling. Master mode checks String1 against the Artist DB and uses the DB master name when matched. As-Is mode uses String1 directly as the artist and performs no Artist DB lookup.</w:t>
      </w:r>
    </w:p>
    <w:p>
      <w:pPr>
        <w:pStyle w:val="ListBullet"/>
        <w:numPr>
          <w:ilvl w:val="0"/>
          <w:numId w:val="1"/>
        </w:numPr>
        <w:rPr/>
      </w:pPr>
      <w:r>
        <w:rPr/>
        <w:t>If Master mode does not find a single DB master, use String1 as the artist and record the miss or collision as an observation rather than an unresolved reason.</w:t>
      </w:r>
    </w:p>
    <w:p>
      <w:pPr>
        <w:pStyle w:val="ListBullet"/>
        <w:numPr>
          <w:ilvl w:val="0"/>
          <w:numId w:val="1"/>
        </w:numPr>
        <w:rPr/>
      </w:pPr>
      <w:r>
        <w:rPr/>
        <w:t>The CLI prompts for Master or As-Is in interactive compliant runs unless --compliant-artist-mode master|as-is is supplied. The GUI prompts when starting a compliant full inventory or compliant Add Shows run unless launched with --compliant-artist-mode.</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same Compliant Artist Mode selected for the run. In Master mode, normalize String1 for Artist DB lookup and use the DB master name when matched. In As-Is mode, use String1 directly with no lookup.</w:t>
      </w:r>
    </w:p>
    <w:p>
      <w:pPr>
        <w:pStyle w:val="ListBullet"/>
        <w:numPr>
          <w:ilvl w:val="0"/>
          <w:numId w:val="1"/>
        </w:numPr>
        <w:rPr/>
      </w:pPr>
      <w:r>
        <w:rPr/>
        <w:t>For String1 - String2, no Date is assigned and String2 remains the album/show tail. Artist handling still follows the selected Master or As-Is compliant artist mode.</w:t>
      </w:r>
    </w:p>
    <w:p>
      <w:pPr>
        <w:pStyle w:val="ListBullet"/>
        <w:numPr>
          <w:ilvl w:val="0"/>
          <w:numId w:val="1"/>
        </w:numPr>
        <w:rPr/>
      </w:pPr>
      <w:r>
        <w:rPr/>
        <w:t>If Master mode does not find a single DB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same Compliant Artist Mode selected for the run. Master mode checks String1 against the Artist DB and uses the master name when matched; As-Is mode uses String1 directly with no lookup. In Master mode,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In compliant mode, the user chooses Master or As-Is artist handling at the start of a compliant inventory run. The CLI also accepts --compliant-artist-mode master|as-is.</w:t>
      </w:r>
    </w:p>
    <w:p>
      <w:pPr>
        <w:pStyle w:val="ListBullet"/>
        <w:numPr>
          <w:ilvl w:val="0"/>
          <w:numId w:val="1"/>
        </w:numPr>
        <w:rPr/>
      </w:pPr>
      <w:r>
        <w:rPr/>
        <w:t>Master mode checks String1 against the Artist DB. If exactly one master is found, use the master name. If no master or multiple masters are found, use String1 as Artist and record an observation.</w:t>
      </w:r>
    </w:p>
    <w:p>
      <w:pPr>
        <w:pStyle w:val="ListBullet"/>
        <w:numPr>
          <w:ilvl w:val="0"/>
          <w:numId w:val="1"/>
        </w:numPr>
        <w:rPr/>
      </w:pPr>
      <w:r>
        <w:rPr/>
        <w:t>As-Is mode uses String1 as Artist directly for String1 Date String2, String1 - String2, and String1 Date, without Artist DB lookup.</w:t>
      </w:r>
    </w:p>
    <w:p>
      <w:pPr>
        <w:pStyle w:val="Heading1"/>
        <w:rPr/>
      </w:pPr>
      <w:r>
        <w:rPr/>
        <w:t>9. Online Venue and Location Lookup</w:t>
      </w:r>
    </w:p>
    <w:p>
      <w:pPr>
        <w:pStyle w:val="ListBullet"/>
        <w:numPr>
          <w:ilvl w:val="0"/>
          <w:numId w:val="1"/>
        </w:numPr>
        <w:rPr/>
      </w:pPr>
      <w:r>
        <w:rPr/>
        <w:t>Online lookup applies in both non-compliant and compliant modes when the corresponding lookup option is enabled.</w:t>
      </w:r>
    </w:p>
    <w:p>
      <w:pPr>
        <w:pStyle w:val="ListBullet"/>
        <w:numPr>
          <w:ilvl w:val="0"/>
          <w:numId w:val="1"/>
        </w:numPr>
        <w:rPr/>
      </w:pPr>
      <w:r>
        <w:rPr/>
        <w:t>--etree-lookup defaults to false. When true, after Artist and yyyy-mm-dd Date are identified from path/date processing, query eTreeDB after path-derived metadata and before selected setlist metadata. eTreeDB may fill blank venue/location fields only and may not overwrite nonblank fields already identified.</w:t>
      </w:r>
    </w:p>
    <w:p>
      <w:pPr>
        <w:pStyle w:val="ListBullet"/>
        <w:numPr>
          <w:ilvl w:val="0"/>
          <w:numId w:val="1"/>
        </w:numPr>
        <w:rPr/>
      </w:pPr>
      <w:r>
        <w:rPr/>
        <w:t>Do not use the top-level performances(...) query for eTreeDB lookup, because that query can throw an eTreeDB internal server error.</w:t>
      </w:r>
    </w:p>
    <w:p>
      <w:pPr>
        <w:pStyle w:val="ListBullet"/>
        <w:numPr>
          <w:ilvl w:val="0"/>
          <w:numId w:val="1"/>
        </w:numPr>
        <w:rPr/>
      </w:pPr>
      <w:r>
        <w:rPr/>
        <w:t>The eTreeDB lookup resolves the exact artist using artistsRoot(name eq), then uses the nested Artist.performances relationship filtered by year, normalizes returned date strings locally, and matches the requested yyyy-mm-dd date. (see Appendix H)</w:t>
      </w:r>
    </w:p>
    <w:p>
      <w:pPr>
        <w:pStyle w:val="Normal"/>
        <w:rPr/>
      </w:pPr>
      <w:r>
        <w:rPr/>
        <w:t>For tagging title fallback only, the same eTreeDB exact artist/year/date lookup may also retrieve Performance.set1, Performance.set2, and Performance.set3 when the eTreeDB option is enabled and local track-title sources are unavailable. This title fallback is used only for tagging; it must not change inventory venue/location precedence or overwrite existing show metadata.</w:t>
      </w:r>
    </w:p>
    <w:p>
      <w:pPr>
        <w:pStyle w:val="ListBullet"/>
        <w:numPr>
          <w:ilvl w:val="0"/>
          <w:numId w:val="1"/>
        </w:numPr>
        <w:rPr/>
      </w:pPr>
      <w:r>
        <w:rPr/>
        <w:t>If a matching eTreeDB performance is found, use eTreeDB venue/location only to fill blank venue/location fields. Do not replace any nonblank field already identified from the path. If eTreeDB disagrees with existing path-derived metadata, retain the existing value and record an observation unless the values are equivalent or one is a token-boundary subset of the other. For eTreeDB non-U.S. results where the returned state/location value is a recognized country, store it as COUNTRY rather than REGION.</w:t>
      </w:r>
    </w:p>
    <w:p>
      <w:pPr>
        <w:pStyle w:val="ListBullet"/>
        <w:numPr>
          <w:ilvl w:val="0"/>
          <w:numId w:val="1"/>
        </w:numPr>
        <w:rPr/>
      </w:pPr>
      <w:r>
        <w:rPr/>
        <w:t>If the eTreeDB lookup fails, returns no matching performance, returns incomplete venue/location, or Date is not yyyy-mm-dd, record an observation and continue to selected setlist metadata. Existing metadata must be retained.</w:t>
      </w:r>
    </w:p>
    <w:p>
      <w:pPr>
        <w:pStyle w:val="ListBullet"/>
        <w:numPr>
          <w:ilvl w:val="0"/>
          <w:numId w:val="1"/>
        </w:numPr>
        <w:rPr/>
      </w:pPr>
      <w:r>
        <w:rPr/>
        <w:t>--setlistfm-lookup defaults to false. When true, it may be used in both non-compliant and compliant modes only when eTree Lookup is also enabled.</w:t>
      </w:r>
    </w:p>
    <w:p>
      <w:pPr>
        <w:pStyle w:val="ListBullet"/>
        <w:numPr>
          <w:ilvl w:val="0"/>
          <w:numId w:val="1"/>
        </w:numPr>
        <w:rPr/>
      </w:pPr>
      <w:r>
        <w:rPr/>
        <w:t>When both eTree Lookup and setlist.fm are enabled, the system must try eTreeDB after path metadata is available, then check selected setlist metadata, then use setlist.fm last only if eTreeDB did not return usable venue/location data for the current artist/date. Both online sources fill blanks only and must not overwrite already identified metadata.</w:t>
      </w:r>
    </w:p>
    <w:p>
      <w:pPr>
        <w:pStyle w:val="ListBullet"/>
        <w:numPr>
          <w:ilvl w:val="0"/>
          <w:numId w:val="1"/>
        </w:numPr>
        <w:rPr/>
      </w:pPr>
      <w:r>
        <w:rPr/>
        <w:t>A usable online lookup result must match the requested normalized yyyy-mm-dd date and provide enough location metadata to construct a show location: venue and city are required; for United States results a state/stateCode is required, and for non-United States results a country is required. Results missing those minimum fields are treated as not usable and must be logged as observations rather than replacing existing metadata.</w:t>
      </w:r>
    </w:p>
    <w:p>
      <w:pPr>
        <w:pStyle w:val="ListBullet"/>
        <w:numPr>
          <w:ilvl w:val="0"/>
          <w:numId w:val="1"/>
        </w:numPr>
        <w:rPr/>
      </w:pPr>
      <w:r>
        <w:rPr/>
        <w:t>At startup, if either eTree Lookup or setlist.fm is enabled, validate the lookup flags and report the active lookup chain. For command-line startup, --setlistfm-lookup without --etree-lookup is an error and inventory must not start.</w:t>
      </w:r>
    </w:p>
    <w:p>
      <w:pPr>
        <w:pStyle w:val="ListBullet"/>
        <w:numPr>
          <w:ilvl w:val="0"/>
          <w:numId w:val="1"/>
        </w:numPr>
        <w:rPr/>
      </w:pPr>
      <w:r>
        <w:rPr/>
        <w:t>setlist.fm lookup requires Artist and Date to be identified, and Date must be normalized as yyyy-mm-dd. Detailed request, result-selection, show-name construction, throttling, and cap rules are canonical in Appendix I.</w:t>
      </w:r>
    </w:p>
    <w:p>
      <w:pPr>
        <w:pStyle w:val="ListBullet"/>
        <w:numPr>
          <w:ilvl w:val="0"/>
          <w:numId w:val="1"/>
        </w:numPr>
        <w:rPr/>
      </w:pPr>
      <w:r>
        <w:rPr/>
        <w:t>setlist.fm rate limiting and the per-run call cap are defined in Appendix I and apply across local inventory worker processes.</w:t>
      </w:r>
    </w:p>
    <w:p>
      <w:pPr>
        <w:pStyle w:val="ListBullet"/>
        <w:numPr>
          <w:ilvl w:val="0"/>
          <w:numId w:val="1"/>
        </w:numPr>
        <w:rPr/>
      </w:pPr>
      <w:r>
        <w:rPr/>
        <w:t>When eTreeDB or setlist.fm supplies venue/location successfully, the lookup result may fill blanks only. It must not replace path-derived, heuristic, or setlist-derived venue/location fields. Disagreements are observations only, and equivalent or token-boundary subset/superset values such as Fillmore and Fillmore West do not count as disagreements. Preserve and append any captured parentheticals at the end of the show name.</w:t>
      </w:r>
    </w:p>
    <w:p>
      <w:pPr>
        <w:pStyle w:val="ListBullet"/>
        <w:numPr>
          <w:ilvl w:val="0"/>
          <w:numId w:val="1"/>
        </w:numPr>
        <w:rPr/>
      </w:pPr>
      <w:r>
        <w:rPr/>
        <w:t>Compliant and non-compliant processing must use the same shared online lookup functions so future eTreeDB or setlist.fm updates happen in one place.</w:t>
      </w:r>
    </w:p>
    <w:p>
      <w:pPr>
        <w:pStyle w:val="Normal"/>
        <w:rPr/>
      </w:pPr>
      <w:r>
        <w:rPr/>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rPr/>
        <w:t>If a show name is established, append a space and PARENTHETICALS to the end of the show name, preserving multiple parentheticals in their original order.</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numPr>
          <w:ilvl w:val="0"/>
          <w:numId w:val="1"/>
        </w:numPr>
        <w:rPr/>
      </w:pPr>
      <w:r>
        <w:rP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Tag, Tag in Place, Tag Copy, Tag Copy/Delete Original, Rename Compliantly, Convert shn, Artist in Album, etreeDB, setlist.fm, and Compliant Artist Mode when applicable. Example: "Switches -- Action: Full Inventory; Compliant: yes;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rPr/>
        <w:t>--rename-compliantly is valid independently of tagging. By itself during full inventory it renames identified original folders in place without writing audio tags; with a tag/copy mode it applies the compliant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rPr/>
        <w:t>--compliant-artist-mode master|as-is controls compliant String1 artist handling. master checks String1 against the artist database; as-is uses String1 directly.</w:t>
      </w:r>
    </w:p>
    <w:p>
      <w:pPr>
        <w:pStyle w:val="Normal"/>
        <w:rPr/>
      </w:pPr>
      <w:r>
        <w:rPr/>
        <w:t>--debug [BOOL] (optional command-line-only GUI flag; enables debug output without changing the concise startup banner)</w:t>
        <w:br/>
        <w:t>--silent</w:t>
        <w:br/>
        <w:t>--TLOHome DIR</w:t>
        <w:br/>
        <w:t>--search-path STRING</w:t>
        <w:br/>
        <w:t>--compliant</w:t>
        <w:br/>
        <w:t>--compliant-artist-mode master|as-is</w:t>
        <w:br/>
        <w:t>--tag-during-inventory</w:t>
        <w:br/>
        <w:t>--tag-copy-during-inventory</w:t>
        <w:br/>
        <w:t>--tag-copy-destination DIR</w:t>
        <w:br/>
        <w:t>--tag-copy-and-delete DIR</w:t>
        <w:br/>
        <w:t>--rename-compliantly</w:t>
        <w:br/>
        <w:t>--convert-shn</w:t>
        <w:br/>
        <w:t>--etree-lookup</w:t>
        <w:br/>
        <w:t>--setlistfm-lookup</w:t>
        <w:br/>
        <w:t>--performance-mode gentle|balanced|fast|extreme</w:t>
        <w:br/>
        <w:t>--max-workers N</w:t>
        <w:br/>
        <w:t>--current-storage-volume STRING (updater field default; overrides TLOCurrentStorage)</w:t>
        <w:br/>
        <w:t>--$slam STRING or legacy -$slam STRING</w:t>
        <w:br/>
        <w:t>--$copy DIR</w:t>
        <w:br/>
        <w:t>--$copy-delete DIR</w:t>
        <w:br/>
        <w:t>--myTLO STRING (undocumented; see Section 2.3)</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their shared options from the registry rather than maintaining independent hand-written copies. TLOHome, myTLO, --debug [BOOL], -$slam, and tagPath remain explicit carve-outs with their existing flags and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rPr/>
        <w:t>Lookup dependency requirement: setlist.fm requiring eTreeDB must be enforced by one shared function. Startup, CLI, and GUI surfaces must all use that same rule; Section 9 is the canonical behavior description.</w:t>
      </w:r>
    </w:p>
    <w:p>
      <w:pPr>
        <w:pStyle w:val="Normal"/>
        <w:rPr/>
      </w:pPr>
      <w:r>
        <w:rPr/>
        <w:t>Max Workers supplied-detection requirement: use argparse.SUPPRESS or an equivalent parser sentinel so GUI default display rules can follow Section 2.10 without duplicating parser-specific logic.</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rPr/>
        <w:t>Add and maintain a standalone command-line tagger named tlo-tag.py. It must behave the same as running the GUI Tag workflow after the user starts tagging from the Tagger window.</w:t>
      </w:r>
    </w:p>
    <w:p>
      <w:pPr>
        <w:pStyle w:val="Normal"/>
        <w:rPr/>
      </w:pPr>
      <w:r>
        <w:rPr/>
        <w:t>tlo-tag.py must accept --TLOHome STRING, --myTLO STRING, --compliant, --tag-path STRING, and an optional positional tagPath string. If both --tag-path and positional tagPath are supplied with different non-empty values, report a readable error and exit.</w:t>
      </w:r>
    </w:p>
    <w:p>
      <w:pPr>
        <w:pStyle w:val="Normal"/>
        <w:rPr/>
      </w:pPr>
      <w:r>
        <w:rPr/>
        <w:t>TLOHome resolution for tlo-tag.py must use the same precedence as the rest of TLO: --myTLO, then --TLOHome, then the TLOHome environment variable.</w:t>
      </w:r>
    </w:p>
    <w:p>
      <w:pPr>
        <w:pStyle w:val="Normal"/>
        <w:rPr/>
      </w:pPr>
      <w:r>
        <w:rPr/>
        <w:t>When tagPath is blank, the tagger must use TLOHome/readyForXfer, or myTLO/readyForXfer when --myTLO wins TLOHome resolution.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Tag During Inventory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Failed conversions must be logged as tag errors and the failed SHN/SHNF file must be left in place. When tagging is enabled, conversion must occur before choosing final track titles and before writing tags. When tagging is disabled, conversion must not write tags.</w:t>
      </w:r>
      <w:r>
        <w:t xml:space="preserve"> In native Windows GUI and PyInstaller one-file builds, the bundled converter must run without creating a visible console or Windows Terminal window.</w:t>
      </w:r>
    </w:p>
    <w:p>
      <w:pPr>
        <w:pStyle w:val="Normal"/>
        <w:rPr/>
      </w:pPr>
      <w:r>
        <w:r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rPr/>
        <w:t>When the GUI Tag Copy/Delete Original -- Destination Path field is filled for a full inventory run, it overrides per-path --$copy and --$copy-delete destinations from toBeInventoried.txt. If the Search Path field is empty, the GUI must preflight the destination against the combined size of all accessible toBeInventoried.txt roots and show an alert if the destination lacks enough space.</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be laid out in a two-row, four-column grid. The first row, from left to right, is etreeDB, Compliant, Tag in Place, and Artist in Album Tag. The second row, from left to right, is setlist.fm, Rename Compliantly, Tag Copy, and Convert shn. Artist in Album Tag defaults to checked.</w:t>
      </w:r>
    </w:p>
    <w:p>
      <w:pPr>
        <w:pStyle w:val="ListBullet"/>
        <w:numPr>
          <w:ilvl w:val="0"/>
          <w:numId w:val="1"/>
        </w:numPr>
        <w:rPr/>
      </w:pPr>
      <w:r>
        <w:rP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v1.1 Build number, developer attribution, tool attribution, and contact text. FAQ opens TLOHome/TLO-FAQ.txt; TLO-FAQ.txt is included in the source bundle and end-user complete distributions.</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rPr/>
        <w:t>Include myTLO support with the same precedence as CLI. It may remain undocumented in help if desired, but the GUI version must support it.</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rPr/>
        <w:t>Include Tag, Add Shows (incremental), Quit, Inventory (full), Pause, and Resume buttons in the main button row. Tag must display at the far left. Add Shows (incremental) and Inventory (full) must each display as centered two-line labels.</w:t>
      </w:r>
    </w:p>
    <w:p>
      <w:pPr>
        <w:pStyle w:val="ListBullet"/>
        <w:numPr>
          <w:ilvl w:val="0"/>
          <w:numId w:val="1"/>
        </w:numPr>
        <w:rPr/>
      </w:pPr>
      <w:r>
        <w:rPr/>
        <w:t>Main button layout: Tag is at the far left, Add Shows / (incremental) is immediately to its right, Quit is centered, and Inventory / (full), Pause, and Resume are grouped on the right. All main-row buttons must have the same height.</w:t>
      </w:r>
    </w:p>
    <w:p>
      <w:pPr>
        <w:pStyle w:val="ListBullet"/>
        <w:numPr>
          <w:ilvl w:val="0"/>
          <w:numId w:val="1"/>
        </w:numPr>
        <w:rPr/>
      </w:pPr>
      <w:r>
        <w:rP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bootlist output, and must ask the user to continue or cancel before processing new shows as the first inventory output.</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w:t>
      </w:r>
    </w:p>
    <w:p>
      <w:pPr>
        <w:pStyle w:val="ListBullet"/>
      </w:pPr>
      <w:r>
        <w:t>Add Shows does not perform Tag Copy. If Tag Copy is selected in the main GUI, Add Shows ignores Tag Copy so it does not create a second destination outside the readyForXfer, dups, and staged workflow.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rPr/>
        <w:t>The main GUI must include vertically aligned checkboxes labeled Tag in Place, Tag Copy, and Rename Compliantly. Tag in Place and Tag Copy are mutually exclusive. Rename Compliantly is independent of tagging. In Full Inventory, when Rename Compliantly is checked and Tag in Place, Tag Copy, and Tag Copy/Delete Original -- Destination Path are all unavailable, TLO must rename each identified original music folder in place using the resolved Show Name and must not write or alter audio tags. When combined with Tag in Place, the original folder is renamed before tagging; when combined with Tag Copy, the copy destination uses the compliant name; and when combined with Tag Copy/Delete Original, the transferred destination uses the compliant name. These main-window values apply to Full Inventory and GUI Tag runs. Add Shows inherits only Compliant and Rename Compliantly and ignores Tag in Place and Tag Copy. The Add Shows window must use the bold in-window heading Traders Little Helper™ Inventory Update App.</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rP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tags the copy, and keeps the original source tree in the inventory. When Tag Copy/Delete Original is used, TLO captures metadata from the original source tree, transfers the folder, tags the destination, and records the destination in the inventory.</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t>Place the visible checkboxes in the required two-row, four-column grid with consistent horizontal and vertical alignment; do not add a Debug checkbox to the grid.</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v1.2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rPr/>
        <w:t>Rename Compliantly must not require Tag in Place, Tag Copy, or Tag Copy/Delete Original. For Full Inventory, Rename Compliantly by itself means rename the identified original folder in place without tagging. The GUI and CLI must accept this combination without an alert or validation error. For a GUI/standalone Tag run, the Tag action still writes tags; when no copy mode is selected, the Tag workflow operates in place and may rename the folder compliantly before tagging.</w:t>
      </w:r>
    </w:p>
    <w:p>
      <w:pPr>
        <w:pStyle w:val="Normal"/>
        <w:rPr/>
      </w:pPr>
      <w:r>
        <w:rPr/>
        <w:t>The Tagger window must include a console subwindow that receives the same concise folder/file messages written by the standalone CLI tagger. The Tagger window must not include its own Tag in Place, Tag Copy, or Rename Compliantly checkboxes; those settings are controlled only from the main GUI window.</w:t>
      </w:r>
    </w:p>
    <w:p>
      <w:pPr>
        <w:pStyle w:val="Normal"/>
        <w:rPr/>
      </w:pPr>
      <w:r>
        <w:rPr/>
        <w:t>The Tagger window must include a text input labeled Tagging Path: pre-populated with TLOHome/readyForXfer, myTLO/readyForXfer when myTLO wins TLOHome resolution, or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rPr/>
        <w:t>Clicking the main Tag button must open a new window whose title bar reads TLO Tagger GUI v1.2 Build XX. Inside the window, the only application heading must be the bold text Traders Little Helper™ Tagger App. Do not add a second in-window version heading. A summary line below the heading must show the inherited Tag mode, Rename Compliantly state, Convert shn state, Compliant state, and etreeDB state.</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rPr/>
      </w:pPr>
      <w:r>
        <w:rPr/>
        <w:t>14.1 Tagger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pPr>
              <w:pStyle w:val="Normal"/>
              <w:spacing w:before="0" w:after="0"/>
              <w:rPr/>
            </w:pPr>
            <w:r>
              <w:rPr>
                <w:sz w:val="16"/>
              </w:rPr>
              <w:t>General constraints and elapsed timer</w:t>
            </w:r>
          </w:p>
        </w:tc>
        <w:tc>
          <w:tcPr>
            <w:tcW w:w="2880" w:type="dxa"/>
            <w:tcBorders/>
          </w:tcPr>
          <w:p>
            <w:pPr>
              <w:pStyle w:val="Normal"/>
              <w:spacing w:before="0" w:after="0"/>
              <w:rPr/>
            </w:pPr>
            <w:r>
              <w:rPr>
                <w:sz w:val="16"/>
              </w:rPr>
              <w:t>tlo_main_lib.py / shared normalization utilities</w:t>
            </w:r>
          </w:p>
        </w:tc>
        <w:tc>
          <w:tcPr>
            <w:tcW w:w="2880" w:type="dxa"/>
            <w:tcBorders/>
          </w:tcPr>
          <w:p>
            <w:pPr>
              <w:pStyle w:val="Normal"/>
              <w:spacing w:before="0" w:after="0"/>
              <w:rPr/>
            </w:pPr>
            <w:r>
              <w:rPr>
                <w:sz w:val="16"/>
              </w:rPr>
              <w:t>Startup-to-exit timer, setlist filename behavior, and common normalization.</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Path-alias limitations are specified in Section 2.6 and should be referenced from the user guide rather than restated here.</w:t>
      </w:r>
    </w:p>
    <w:p>
      <w:pPr>
        <w:pStyle w:val="ListBullet"/>
        <w:numPr>
          <w:ilvl w:val="0"/>
          <w:numId w:val="1"/>
        </w:numPr>
        <w:rPr/>
      </w:pPr>
      <w:r>
        <w:rPr/>
        <w:t>The TLO Search app is a separate delivery and is outside the source/implementation scope of this inventory bundle. User documentation may describe its workflow only when it is clearly labeled as separately installed.</w:t>
      </w:r>
    </w:p>
    <w:p>
      <w:pPr>
        <w:pStyle w:val="Heading1"/>
        <w:rPr/>
      </w:pPr>
      <w:r>
        <w:rPr/>
        <w:t>Appendix C - Reserved</w:t>
      </w:r>
    </w:p>
    <w:p>
      <w:pPr>
        <w:pStyle w:val="Normal"/>
        <w:rPr/>
      </w:pPr>
      <w:r>
        <w:rPr/>
        <w:t>Reserved for future project-level clarifications that are not implementation requirements.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Duplicate and nested-root handling, including the user-guide warning for symlinks, junctions, mount aliases, and case-equivalent paths, is canonical in Section 2.6.</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GUI Quit behavior is canonical in Section 15. Appendix D records only the ambiguity disposition.</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rPr/>
        <w:t>Generated setlist file content rule: If no source setlist exists, generate one using the exact first line *** No setlist found ***. Then add available show metadata lines in this order: artist name; date; venue and location combined. Skip any metadata line whose value is blank. Then list recognized music filenames from the show directory in alphabetical order by filename.</w:t>
      </w:r>
    </w:p>
    <w:p>
      <w:pPr>
        <w:pStyle w:val="Normal"/>
        <w:rPr/>
      </w:pPr>
      <w:r>
        <w:rPr/>
        <w:t>Generated setlist metadata line terminology: "artist name" means the resolved Artist field. "date" means the normalized Date field. "venue and location" means the Venue field followed by the Location field when both are available; if only one exists, write only that value. No generated setlist line uses labels or prefixes.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rP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rPr/>
        <w:t>E8. CLI, GUI, Logging, and Boolean Enumerations</w:t>
      </w:r>
    </w:p>
    <w:p>
      <w:pPr>
        <w:pStyle w:val="Heading3"/>
        <w:rPr/>
      </w:pPr>
      <w:r>
        <w:rPr/>
        <w:t>Supported inventory/updater CLI arguments, --etree-lookup, --setlistfm-lookup, and tagger-scoped arguments</w:t>
      </w:r>
    </w:p>
    <w:p>
      <w:pPr>
        <w:pStyle w:val="Normal"/>
        <w:rPr/>
      </w:pPr>
      <w:r>
        <w:rPr/>
        <w:t>--debug [BOOL], --silent, --TLOHome DIR, --myTLO STRING (undocumented; see Section 2.3), --search-path STRING, --compliant, --compliant-artist-mode master|as-is, --tag-during-inventory, --tag-copy-during-inventory, --tag-copy-destination DIR, --tag-copy-and-delete DIR, --rename-compliantly, --convert-shn, --etree-lookup, --setlistfm-lookup, --performance-mode gentle|balanced|fast|extreme, --max-workers N, --current-storage-volume STRING, --$slam STRING or legacy -$slam STRING, --$copy DIR, and --$copy-delete DIR. tagPath is not an inventory CLI argument; --tag-path is tagger-scoped for the tlo-ggi.py Tag launcher and tlo-tag.py only. The standalone tlo-tag.py command also accepts --etree-lookup to enable eTreeDB song-title fallback during tagging.</w:t>
      </w:r>
    </w:p>
    <w:p>
      <w:pPr>
        <w:pStyle w:val="Heading3"/>
        <w:rPr/>
      </w:pPr>
      <w:r>
        <w:t>GUI fields and visible controls</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pStyle w:val="Normal"/>
        <w:rPr/>
      </w:pPr>
      <w:r>
        <w:t>Search Path, Slam, Performance Mode, Max Workers, etreeDB, Compliant, Tag in Place, Artist in Album Tag, setlist.fm, Rename Compliantly, Tag Copy, Convert shn,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t>Integer N &gt;= 0. See Section 2.10 for zero/default semantics, extreme-mode display behavior, and volume-group worker caps.</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rPr/>
        <w:t>This appendix documents the eTreeDB interface used when --etree-lookup is enabled in either non-compliant or compliant mode.</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rPr/>
        <w:t>If the query fails or no matching performance remains after local filtering, record an observation and continue with selected setlist metadata. If a match succeeds but disagrees with any already identified venue/location metadata, retain the existing values and record the eTreeDB disagreement as an observation, except when the values are equivalent or one is a token-boundary subset of the other.</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rPr/>
        <w:t>If a match is found, TLO uses venue, city, and state/country only to fill blank VENUE, CITY, REGION, COUNTRY, and LOCATION fields. eTreeDB must not replace nonblank path-derived, heuristic, venue-list, or setlist-derived fields. Differences are observations only, except for equivalent or token-boundary subset/superset values.</w:t>
      </w:r>
    </w:p>
    <w:p>
      <w:pPr>
        <w:pStyle w:val="Normal"/>
        <w:rPr/>
      </w:pPr>
      <w:r>
        <w:rPr/>
        <w:t>If no match is found, no Date exists, Date is not yyyy-mm-dd, or an error occurs, TLO records an observation and continues with selected setlist metadata. Successful eTreeDB results fill blanks only; they do not replace existing metadata.</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rPr/>
        <w:t>This appendix documents the setlist.fm last-resort lookup used when --setlistfm-lookup is enabled in either non-compliant or compliant mode.</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In non-compliant mode, the implementation queries setlist.fm only after path metadata, eTreeDB, and selected setlist metadata have all been applied or checked, and only if eTreeDB did not return usable venue/location data for the current artist/date. setlist.fm fills blanks only and records non-equivalent disagreements as observations. In compliant mode, where selected setlist metadata is not used, setlist.fm remains the fallback after eTreeDB when enabled and otherwise valid.</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rPr/>
        <w:t>setlist.fm requests must be rate-limited to at most one request every 600 milliseconds across local inventory worker processes. The interprocess rate-limit lock must not be held while a worker sleeps before its own request.</w:t>
      </w:r>
    </w:p>
    <w:p>
      <w:pPr>
        <w:pStyle w:val="ListBullet"/>
        <w:numPr>
          <w:ilvl w:val="0"/>
          <w:numId w:val="1"/>
        </w:numPr>
        <w:rPr/>
      </w:pPr>
      <w:r>
        <w:rPr/>
        <w:t>setlist.fm requests must also be capped at 1,400 calls per inventory run. The cap applies across local inventory worker processes for the same run.</w:t>
      </w:r>
    </w:p>
    <w:p>
      <w:r>
        <w:t>Build 332/333 update: meta*.log SHOW_NAME entries now include a Switches -- line that records the active per-entry inventory settings for Full Inventory and Add Shows metadata records.</w:t>
      </w:r>
    </w:p>
    <w:p>
      <w:pPr>
        <w:pStyle w:val="Heading1"/>
      </w:pPr>
      <w:r>
        <w:t>Build 333 Artist in Album update</w:t>
      </w:r>
    </w:p>
    <w:p>
      <w:r>
        <w:t>Build 333 adds the checked-by-default Artist in Album GUI checkbox and the command-line --no-artist-in-album opt-out. When the option is checked, Album tags begin with the resolved Artist followed by the existing album components. When unchecked, Album tags use the prior date/venue/location/parenthetical format without the artist prefix. The public application version is v1.2 Build 333.</w:t>
      </w:r>
    </w:p>
    <w:p>
      <w:pPr>
        <w:pStyle w:val="Heading1"/>
      </w:pPr>
      <w:r>
        <w:t>Build 334 main GUI checkbox layout update</w:t>
      </w:r>
    </w:p>
    <w:p>
      <w:r>
        <w:t>Build 334 rearranges the visible main-window checkboxes into two rows and four columns. Row 1 is etreeDB, Compliant, Tag in Place, and Artist in Album Tag. Row 2 is setlist.fm, Rename Compliantly, Tag Copy, and Convert shn. The Artist in Album Tag option remains checked by default; only its visible label and grid position changed. The public application version is v1.2 Build 334.</w:t>
      </w:r>
    </w:p>
    <w:p>
      <w:pPr>
        <w:pStyle w:val="Heading1"/>
      </w:pPr>
      <w:r>
        <w:t>Build 335 Windows subprocess-window suppression</w:t>
      </w:r>
    </w:p>
    <w:p>
      <w:pPr/>
      <w:r>
        <w:t>Build 335 suppresses visible Windows console/Windows Terminal windows for the bundled ffmpeg SHN converter and for PowerShell physical-drive detection. The subprocesses still run normally in the background, preserve their existing timeouts and captured output, and do not change Linux, macOS, or WSL behavior. The public application version is v1.2 Build 335.</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
  <cp:keywords>TLO, Inventory, Requirements, v1.2, Build 334, GUI, checkboxes</cp:keywords>
  <dc:language>en-US</dc:language>
  <cp:lastModifiedBy/>
  <dcterms:modified xsi:type="dcterms:W3CDTF">2026-06-22T22:02:32Z</dcterms:modified>
  <cp:revision>1</cp:revision>
  <dc:subject>TLO Inventory requirements, v1.2 Build 334</dc:subject>
  <dc:title>TLO Inventory Requirements Working v333</dc:title>
</cp:coreProperties>
</file>