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v440 (v1.5 Build 440).</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v1.5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v1.5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v1.5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v1.5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acceptable corruption %,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Add a main-window text box labeled acceptable corruption % and a CLI option --acceptable-corruption-percent. Accept integers 0 through 100 inclusive only; default 100.</w:t>
      </w:r>
    </w:p>
    <w:p>
      <w:pPr/>
      <w:r>
        <w:t>REQ-CORR-002  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REQ-CORR-003  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REQ-CORR-004  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REQ-TRASH-001  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REQ-CORR-005  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REQ-CORR-006  Corruption evaluation must be separated into a directly testable pre-mutation assessment and a mutation/application stage. The assessment records the original audio snapshot, positively corrupt paths, unverifiable details, percentage, threshold, authorized action, and any all-corrupt direct music directories. The assessment stage performs no Trash/Recycle action. The orchestrator must consume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There is no permanent-delete fallback.</w:t>
      </w:r>
    </w:p>
    <w:p>
      <w:pPr/>
      <w:r>
        <w:t>REQ-TRASH-002  The operating-system Trash/Recycle implementation remains the only corruption-removal primitive. Whole-show, all-corrupt music-directory, and individual-file removals must be applied only from a completed structured assessment; successful removals must be reflected in the carried group/ShowMetadata paths before downstream work resumes.</w:t>
      </w:r>
    </w:p>
    <w:p>
      <w:pPr>
        <w:pStyle w:val="Heading2"/>
      </w:pPr>
      <w:r>
        <w:t>20.7 Revision Index (Build 398-440)</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428 consolidated specification.</dc:description>
  <cp:keywords>TLO, Inventory, Requirements, v1.4, Build 420, Thorough Setlist Matching, setlist.fm</cp:keywords>
  <dc:language>en-US</dc:language>
  <cp:lastModifiedBy/>
  <dcterms:modified xsi:type="dcterms:W3CDTF">2026-08-03T22:32:32Z</dcterms:modified>
  <cp:revision>1</cp:revision>
  <dc:subject>TLO v1.5 Build 440 requirements</dc:subject>
  <dc:title>TLO Inventory Requirements Working v440</dc:title>
</cp:coreProperties>
</file>