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v359 (v1.3 Build 359).</w:t>
      </w:r>
    </w:p>
    <w:p>
      <w:pPr>
        <w:pStyle w:val="Normal"/>
        <w:rPr/>
      </w:pPr>
      <w:r>
        <w:t>Document organization: Sections 1-16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v1.3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all five executables directly under apps/Windows with exactly one shared apps/Windows/_internal runtime folder.</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t>This section is the canonical definition of venue/location source precedence, usable-result criteria, lookup dependencies, and non-overwrite behavior.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v1.3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v1.3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v1.3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r>
        <w:t xml:space="preserv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That entry point shall load the categorized suite so the existing CI command continues to execute all tests.</w:t>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app is included in the source bundle and in every complete platform distribution. Its detailed search behavior is maintained in tlo-gsi.py and the user manual; this inventory requirements document covers only integration points such as TLOHome, bootlist.csv, setlists, packaging, and update checks.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359 defines size-free same-filesystem Copy/Delete moves and size verification for every real copy.</dc:description>
  <cp:keywords>TLO, Inventory, Requirements, v1.3, Build 359, copy verification, copy-delete</cp:keywords>
  <dc:language>en-US</dc:language>
  <cp:lastModifiedBy/>
  <dcterms:modified xsi:type="dcterms:W3CDTF">2026-08-03T22:32:32Z</dcterms:modified>
  <cp:revision>1</cp:revision>
  <dc:subject>Current consolidated requirements for TLO v1.3 Build 359</dc:subject>
  <dc:title>TLO Inventory Requirements - v1.3 Build 359</dc:title>
</cp:coreProperties>
</file>