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v372 (v1.4 Build 372).</w:t>
      </w:r>
    </w:p>
    <w:p>
      <w:pPr>
        <w:pStyle w:val="Normal"/>
        <w:rPr/>
      </w:pPr>
      <w:r>
        <w:t>Document organization: Sections 1-19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paths may come from the command line using --search-path STRING.</w:t>
      </w:r>
    </w:p>
    <w:p>
      <w:pPr>
        <w:pStyle w:val="ListBullet"/>
        <w:numPr>
          <w:ilvl w:val="0"/>
          <w:numId w:val="1"/>
        </w:numPr>
        <w:rPr/>
      </w:pPr>
      <w:r>
        <w:t>Search paths may also come from TLOHome/toBeInventoried.txt when --search-path is not supplied.</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If --search-path is supplied, ignore toBeInventoried.txt and process only the supplied search path.</w:t>
      </w:r>
    </w:p>
    <w:p>
      <w:pPr>
        <w:pStyle w:val="ListBullet"/>
        <w:numPr>
          <w:ilvl w:val="0"/>
          <w:numId w:val="1"/>
        </w:numPr>
        <w:rPr/>
      </w:pPr>
      <w: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 search path from toBeInventoried.txt.</w:t>
      </w:r>
    </w:p>
    <w:p>
      <w:pPr>
        <w:pStyle w:val="ListBullet"/>
        <w:numPr>
          <w:ilvl w:val="0"/>
          <w:numId w:val="1"/>
        </w:numPr>
        <w:rPr/>
      </w:pPr>
      <w:r>
        <w:t>A slam value may also be supplied from the command line using --$slam STRING, or legacy -$slam STRING, when --search-path STRING is supplied.</w:t>
      </w:r>
    </w:p>
    <w:p>
      <w:pPr>
        <w:pStyle w:val="ListBullet"/>
        <w:numPr>
          <w:ilvl w:val="0"/>
          <w:numId w:val="1"/>
        </w:numPr>
        <w:rPr/>
      </w:pPr>
      <w:r>
        <w:t>--$slam/-$slam must not be accepted by itself. If supplied without --search-path,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v1.4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the six PyInstaller executables (search-artist-db, tlo-gsi, tlo-gi, tlo-research, tlo-ggi, and tlo-tag) directly under apps/Windows with exactly one shared apps/Windows/_internal runtime folder; tlo-deleteDupes remains a separate launcher/private-runtime application.</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and xxxx-xx-xx. Once an x appears in the fourth digit of a 19xx/20xx year, the next less-specific valid year option is xxxx; forms such as 20xx-xx-xx, 19xx-xx-xx, 2xxx-xx-xx, and 1xxx-xx-xx are invalid. Examples such as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Store the DB master name (or the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Heading2"/>
        <w:rPr/>
      </w:pPr>
      <w:r>
        <w:t>7.5 Abbreviation Handling for String1</w:t>
      </w:r>
    </w:p>
    <w:p>
      <w:pPr>
        <w:pStyle w:val="ListBullet"/>
        <w:numPr>
          <w:ilvl w:val="0"/>
          <w:numId w:val="1"/>
        </w:numPr>
        <w:rPr/>
      </w:pPr>
      <w:r>
        <w:t>In non-compliant mode, when String1 is directly adjacent to the date with no whitespace, first search other eligible path components for a DB-backed artist before treating String1 as an artist abbreviation.</w:t>
      </w:r>
    </w:p>
    <w:p>
      <w:pPr>
        <w:pStyle w:val="ListBullet"/>
        <w:numPr>
          <w:ilvl w:val="0"/>
          <w:numId w:val="1"/>
        </w:numPr>
        <w:rPr/>
      </w:pPr>
      <w:r>
        <w:t>The path component containing the String1Date or String1DateString2 match must be excluded from this pre-abbreviation path-artist check so that the abbreviation itself is not counted as the path artist.</w:t>
      </w:r>
    </w:p>
    <w:p>
      <w:pPr>
        <w:pStyle w:val="ListBullet"/>
        <w:numPr>
          <w:ilvl w:val="0"/>
          <w:numId w:val="1"/>
        </w:numPr>
        <w:rPr/>
      </w:pPr>
      <w:r>
        <w:t>If the pre-abbreviation path-artist check finds exactly one compatible DB-backed artist, use that artist and do not perform the abbreviation lookup for String1.</w:t>
      </w:r>
    </w:p>
    <w:p>
      <w:pPr>
        <w:pStyle w:val="ListBullet"/>
        <w:numPr>
          <w:ilvl w:val="0"/>
          <w:numId w:val="1"/>
        </w:numPr>
        <w:rPr/>
      </w:pPr>
      <w:r>
        <w:t>If the pre-abbreviation path-artist check finds incompatible DB-backed artists, record an artist conflict, mark the path unresolved, and do not use the abbreviation to override that conflict.</w:t>
      </w:r>
    </w:p>
    <w:p>
      <w:pPr>
        <w:pStyle w:val="ListBullet"/>
        <w:numPr>
          <w:ilvl w:val="0"/>
          <w:numId w:val="1"/>
        </w:numPr>
        <w:rPr/>
      </w:pPr>
      <w:r>
        <w:t>If no DB-backed artist is found elsewhere in the path, evaluate String1 as a possible abbreviation only if it has no internal whitespace, contains only alphabetic characters, is four characters or fewer, and is not mixed case.</w:t>
      </w:r>
    </w:p>
    <w:p>
      <w:pPr>
        <w:pStyle w:val="ListBullet"/>
        <w:numPr>
          <w:ilvl w:val="0"/>
          <w:numId w:val="1"/>
        </w:numPr>
        <w:rPr/>
      </w:pPr>
      <w:r>
        <w:t>If the abbreviation tests pass, search the Artist DB abbreviation/alias terms for String1.</w:t>
      </w:r>
    </w:p>
    <w:p>
      <w:pPr>
        <w:pStyle w:val="ListBullet"/>
        <w:numPr>
          <w:ilvl w:val="0"/>
          <w:numId w:val="1"/>
        </w:numPr>
        <w:rPr/>
      </w:pPr>
      <w:r>
        <w:t>If the abbreviation resolves to exactly one master artist, use that master artist.</w:t>
      </w:r>
    </w:p>
    <w:p>
      <w:pPr>
        <w:pStyle w:val="ListBullet"/>
        <w:numPr>
          <w:ilvl w:val="0"/>
          <w:numId w:val="1"/>
        </w:numPr>
        <w:rPr/>
      </w:pPr>
      <w:r>
        <w:t>If the abbreviation resolves to multiple artists, record an artist collision and leave artist blank.</w:t>
      </w:r>
    </w:p>
    <w:p>
      <w:pPr>
        <w:pStyle w:val="ListBullet"/>
        <w:numPr>
          <w:ilvl w:val="0"/>
          <w:numId w:val="1"/>
        </w:numPr>
        <w:rPr/>
      </w:pPr>
      <w:r>
        <w:t>If the abbreviation does not resolve, continue with the normal String1 Artist DB lookup rules.</w:t>
      </w:r>
    </w:p>
    <w:p>
      <w:pPr>
        <w:pStyle w:val="ListBullet"/>
        <w:numPr>
          <w:ilvl w:val="0"/>
          <w:numId w:val="1"/>
        </w:numPr>
        <w:rPr/>
      </w:pPr>
      <w:r>
        <w:t>Do not apply abbreviation-only logic to String1 values separated from the date by whitespace.</w:t>
      </w:r>
    </w:p>
    <w:p>
      <w:pPr>
        <w:pStyle w:val="ListBullet"/>
        <w:numPr>
          <w:ilvl w:val="0"/>
          <w:numId w:val="1"/>
        </w:numPr>
        <w:rPr/>
      </w:pPr>
      <w:r>
        <w:t>Compliant mode uses the existing compliant path-pattern rules and is not changed by this non-compliant 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If String2 is not date-like, treat String2 as the album name. Store String2 in ALBUM_NAME. Do not parse, validate, or split String2 into venue/location fields.</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It must not use the setlist filename or path as metadata input.</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fills missing artist, missing venue, and/or missing location fields only. It must also run for selected setlist files when a path matched String1 - String2, so explicit labels can fill otherwise missing venue/location fields. Existing path-derived or online-derived artist, venue, city, region, country, or location values must not be overwritten by setlist metadata. When setlist metadata returns a different nonblank value for an already populated field, record an observation, unless the two values are equivalent or one is a token-boundary subset of the other, such as Fillmore and Fillmore West.</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labels, venue-list checks, and header layout inference run after eTreeDB and may fill only fields still blank. setlist.fm, if enabled, runs last and may fill only fields still blank. Any eTreeDB, setlist metadata, or setlist.fm result that differs from an existing nonblank value must be logged as an observation unless the values are equivalent or one is a token-boundary subset of the other.</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w:t>
      </w:r>
    </w:p>
    <w:p>
      <w:pPr>
        <w:pStyle w:val="ListBullet"/>
        <w:numPr>
          <w:ilvl w:val="0"/>
          <w:numId w:val="1"/>
        </w:numPr>
        <w:rPr/>
      </w:pPr>
      <w:r>
        <w:t>If String1 Date String2 is not found, check for String1 - String2.</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String1 - String2, no Date is assigned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t>There is no date. When --etree-lookup is false, the show name is Artist - String2.</w:t>
      </w:r>
    </w:p>
    <w:p>
      <w:pPr>
        <w:pStyle w:val="ListBullet"/>
        <w:numPr>
          <w:ilvl w:val="0"/>
          <w:numId w:val="1"/>
        </w:numPr>
        <w:rPr/>
      </w:pPr>
      <w:r>
        <w:t>For the String1 - String2 compliant case, there is no date. Do not assign xxxx-xx-xx for the compliant extraction record or generated setlist content.</w:t>
      </w:r>
    </w:p>
    <w:p>
      <w:pPr>
        <w:pStyle w:val="ListBullet"/>
        <w:numPr>
          <w:ilvl w:val="0"/>
          <w:numId w:val="1"/>
        </w:numPr>
        <w:rPr/>
      </w:pPr>
      <w:r>
        <w:t>The generated setlist text filename for this compliant case must include a dash between the sanitized Artist/String1 component and the sanitized String2 component: Artist-String2.</w:t>
      </w:r>
    </w:p>
    <w:p>
      <w:pPr>
        <w:pStyle w:val="Heading2"/>
        <w:rPr/>
      </w:pPr>
      <w:r>
        <w:t>8.4 String1 Date</w:t>
      </w:r>
    </w:p>
    <w:p>
      <w:pPr>
        <w:pStyle w:val="ListBullet"/>
        <w:numPr>
          <w:ilvl w:val="0"/>
          <w:numId w:val="1"/>
        </w:numPr>
        <w:rPr/>
      </w:pPr>
      <w:r>
        <w:t>If String1 Date String2 and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non-overwrite behavior.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and --setlistfm-lookup both default to false.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per-run cap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and setlist.fm.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This rule applies to Full Inventory with Tag in Place, Tag Copy, or Tag Copy/Delete Original, to Add Shows tagging, and to standalone Tag.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auCDtect audio-analysis report sections and result rows must not be parsed as song titles. Lines such as "101 Ted the Mechanic.wav: track looks like CDDA with probability 100%." are technical verification rows, similar to checksum/hash rows. If these rows appear after a valid setlist track list, track-title parsing stops before the auCDtect block; if they appear without a real setlist track 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t>Add a checkbox titled etreeDB, mapped to --etree-lookup, and a checkbox titled setlist.fm, mapped to --setlistfm-lookup.</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three-row,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intentionally empty; Column 2 As-Is Artist Name; Column 3 Tag Copy/Delete Original; Column 4 Dry run. Artist in Album Tag defaults to checked.</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v1.4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Indicate Search Path and Slam are optional overrides directly beneath their respective labels.</w:t>
      </w:r>
    </w:p>
    <w:p>
      <w:pPr>
        <w:pStyle w:val="ListBullet"/>
        <w:numPr>
          <w:ilvl w:val="0"/>
          <w:numId w:val="1"/>
        </w:numPr>
        <w:rPr/>
      </w:pPr>
      <w:r>
        <w:t>Include Tag, Add Shows (incremental), Quit, Inventory (full), Pause, and Resume buttons in the main button row. Include a Dry run checkbox in the main options grid. Tag must display at the far left. Add Shows (incremental) and Inventory (full) must each display as centered two-line labels.</w:t>
      </w:r>
    </w:p>
    <w:p>
      <w:pPr>
        <w:pStyle w:val="ListBullet"/>
        <w:numPr>
          <w:ilvl w:val="0"/>
          <w:numId w:val="1"/>
        </w:numPr>
        <w:rPr/>
      </w:pPr>
      <w:r>
        <w:t>Main button layout: Tag is at the far left, Add Shows / (incremental) is immediately to its right, Quit is centered, and Inventory / (full), Pause, and Resume are grouped on the right. All main-row buttons must have the same height.</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w:t>
      </w:r>
    </w:p>
    <w:p>
      <w:pPr>
        <w:pStyle w:val="ListBullet"/>
        <w:numPr>
          <w:ilvl w:val="0"/>
          <w:numId w:val="1"/>
        </w:numPr>
        <w:rPr/>
      </w:pPr>
      <w:r>
        <w:t>The main GUI window title bar must read TLO Inventory GUI v1.4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v1.4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Rename Compliantly; Tag Copy; Convert shn; As-Is Artist Name; Tag Copy/Delete Original; Dry run. After that common section, report workflow-specific paths or path sources, destinations, duplicate checking, performance settings, applicable warnings, and whether original files may be changed. Tag must identify the inventory copy modes as reported but not used. Add Shows must identify Tag Copy and Tag Copy/Delete Original as reported but not used. The user may Start or Go Back.</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Pressing Enter in the input box shall be equivalent to Search.</w:t>
      </w:r>
    </w:p>
    <w:p>
      <w:pPr/>
      <w:r>
        <w:t>A successful GUI research operation shall display the same formatted result produced by the standalone tlo-research command in a new scrollable text window. Search errors, missing TLOHome/logs, or invalid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active-run tokenized logs, and exit the process.</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r>
        <w:t>External requests, interprocess coordination waits, and converter invocations must use finite timeouts. The setlist.fm state location, atomic-write rules, 20-second reservation-lock deadline, request spacing, and per-run cap are canonical in Appendix I. SHN/SHNF conversion uses a maximum per-file runtime of 30 minutes. A timeout must produce a readable observation or error and allow processing to continue when the affected operation is optional.</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r>
        <w:t>The flat source-bundle root shall retain test_tlo_requirements.py as a compatibility entry point for TLO_GitHub_Build_Process_v054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continue. Failure to repair a corrupt FLAC shall not retain an otherwise qualifying duplicate directory: every non-keeper member of that content-equivalence cluster shall still be moved into the duplicates holding folder. The selected keeper directory itself shall never be moved.</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partial x-placeholder dates such as 2001-04-1x, 2004-0x-xx, 202x-xx-xx, and xxxx-xx-xx, plus a standalone four-digit 19xx/20xx year.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TLOHome precedence, CLI console output/error behavior, GUI Research button/input/results behavior,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bl>
    <w:p>
      <w:pPr>
        <w:pStyle w:val="Heading1"/>
        <w:rPr/>
      </w:pPr>
      <w:r>
        <w:t>Appendix B - Open Issues and Future Clarifications</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t>When a date range is detected, treat the first date in the range as the canonical show date and normalize it using the existing date rules.</w:t>
      </w:r>
    </w:p>
    <w:p>
      <w:pPr>
        <w:pStyle w:val="Normal"/>
        <w:rPr/>
      </w:pPr>
      <w:r>
        <w:t>Preserve the full original range string in PARENTHETICALS.</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Rename Compliantly, Tag Copy, Convert shn, As-Is Artist Name, Tag Copy/Delete Original, Dry run, Add Shows (incremental), Quit, Inventory (full), Pause, Resume, and Tag are the current main-window controls. Silent is not a visible control.</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numPr>
          <w:ilvl w:val="0"/>
          <w:numId w:val="1"/>
        </w:numPr>
        <w:rPr/>
      </w:pPr>
      <w:r>
        <w:t>setlist.fm requests must be rate-limited to at most one request every 600 milliseconds across local inventory worker processes.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w:t>
      </w:r>
    </w:p>
    <w:p>
      <w:pPr>
        <w:pStyle w:val="ListBullet"/>
        <w:numPr>
          <w:ilvl w:val="0"/>
          <w:numId w:val="1"/>
        </w:numPr>
        <w:rPr/>
      </w:pPr>
      <w:r>
        <w:t>setlist.fm requests must also be capped at 1,400 calls per inventory run. The cap applies across local inventory worker processes for the same run. A worker may wait no more than 20 seconds to acquire the interprocess reservation lock. On timeout, the setlist.fm lookup must record an observation and allow inventory to continue without that lookup rather than wait indefinitely.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371: wrapper-term metadata path and unmatched tag artist precedence corrections.</dc:description>
  <cp:keywords>TLO, Inventory, Requirements, v1.4, Build 372, Research</cp:keywords>
  <dc:language>en-US</dc:language>
  <cp:lastModifiedBy/>
  <dcterms:modified xsi:type="dcterms:W3CDTF">2026-08-03T22:32:32Z</dcterms:modified>
  <cp:revision>1</cp:revision>
  <dc:subject>TLO v1.4 Build 372 inventory requirements</dc:subject>
  <dc:title>TLO Inventory Requirements v1.3 Build 371</dc:title>
</cp:coreProperties>
</file>