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v471 (v1.6 Build 471).</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Search Path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A quoted entry may contain a literal semicolon. A Search Path entry whose physical path ends in .txt is treated as an inventory-control text file; the file may have any filename and is parsed using the same line/comment/directive rules formerly used for TLOHome/toBeInventoried.txt. Direct entries and .txt control-file entries may be mixed in one Search Path value.</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Search Path drop rules, then appended to the existing Search Path value in payload order with semicolons inserted automatically. Repeated drag actions are cumulative: for example, dragging folder A, then folder B, then folders C and D together produces A;B;C;D. Existing Search Path text must not be replaced. The completed drop must be acknowledged to TkDND with the performed drop action so Windows does not treat the drop as refused after the field has been updated. A dropped .txt file remains the file path so it can be processed as an inventory-control file; other dropped files retain the legacy behavior of using their containing folder when available. A dropped path containing a literal semicolon must be quoted automatically so it remains one Search Path entry.</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A separate slam value may also be supplied from the GUI Slam field or from the command line using --$slam STRING / legacy -$slam STRING when Search Path consists of direct entries. That separate value applies to direct entries that do not already contain an inline slam. Do not combine the separate Slam/--$slam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manifest data, checksums, and clean scan receipts. The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w:t>
      </w:r>
      <w:r>
        <w:t xml:space="preserve"> When a journal path was translated between Windows and WSL forms, the diagnostic must show the current-runtime path and the journal path form so the user can see why the paths differ.</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Slam,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Slam entry must be approximately half its prior Build 460 width (33 characters instead of 66) and must not stretch across the full Search Path width; these reductions must not hide or reorder controls.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the GUI updater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Slam remains optional; its label must read "Slam (optional)" on the same row as its entry, with no separate helper line.</w:t>
      </w:r>
    </w:p>
    <w:p>
      <w:pPr>
        <w:pStyle w:val="ListBullet"/>
        <w:numPr>
          <w:ilvl w:val="0"/>
          <w:numId w:val="1"/>
        </w:numPr>
        <w:rPr/>
      </w:pPr>
      <w:r/>
      <w:r>
        <w:t>Include Tag, Add Shows (incremental), Research, Quit, Inventory (full), Pause, and Resume buttons in the main button row. Include a Dry run checkbox in the main options grid. Tag must display at the far left. Add Shows (incremental) and Inventory (full) may use concise two-line labels to keep the main row readable.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Slam,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w:t>
      </w:r>
    </w:p>
    <w:p>
      <w:pPr>
        <w:pStyle w:val="Normal"/>
        <w:rPr/>
      </w:pPr>
      <w:r>
        <w:t>The GUI Tag action must not create a Tagger child window. It uses the main Inventory window console and Current Operation area. It reads the current master Path(s), Slam,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the master Slam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w:t>
      </w:r>
    </w:p>
    <w:p>
      <w:pPr>
        <w:pStyle w:val="ListBullet"/>
      </w:pPr>
      <w:r>
        <w:t>The GUI has no Tagger child window. GUI Tag is intentionally integrated into the main Inventory window: it uses master Path(s), Slam,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Add Shows (incremental), Research,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blank, the GUI must force the setlist.fm and setlist.fm upgrade checkboxes unchecked and disabled. CLI/library lookup attempts that explicitly request setlist.fm without an available key continue to fail/record the established bounded error rather than exposing the key.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now a direct main-window operation using master Path(s), Slam, tag mode, lookup/corruption/tagging settings, Dry run, Performance Mode, and Max Workers ceiling; no Tagger child window is opened. Keep and report disables Folder removal/threshold and is effectively report-only. Missing SETLISTFM_API_KEY disables/unchecks both setlist.fm checkboxes.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removes the separate GUI Tag window and runs GUI Tag from the main Path(s), Slam, and current main options; disables/unchecks setlist.fm controls when SETLISTFM_API_KEY is unavailable; makes Max Workers an independent ceiling; greys/disables folder-removal controls under Keep and report; makes the Issues horizontal scrollbar functional for long Explanation/Path rows; and changes benign successful tag-parser branch notices from warnings to informational output.</w:t>
      </w:r>
    </w:p>
    <w:p>
      <w:pPr/>
      <w:r>
        <w:t>Revision note - v470</w:t>
      </w:r>
    </w:p>
    <w:p>
      <w:pPr/>
      <w:r>
        <w:t>Normal postprocess creation/update messages for unidentifiedShows.txt, including a result of zero unidentified shows, shall be treated as informational housekeeping rather than GUI warnings. Actual unidentified-show conditions shall continue to be reported as issues and remain available in the appropriate logs/output.</w:t>
      </w:r>
    </w:p>
    <w:p>
      <w:pPr/>
      <w:r>
        <w:t>Build 470: removes false completion warnings caused solely by the word “unidentified” appearing in the unidentifiedShows.txt filename/status messages; no change is made to unidentified-show detection, persistence, reconciliation, or mutation-safety behavior.</w:t>
      </w:r>
    </w:p>
    <w:p>
      <w:r>
        <w:t>Revision note - v471</w:t>
      </w:r>
    </w:p>
    <w:p>
      <w:r>
        <w:t>Rename Compliantly exact-case correction: exact canonical spelling/capitalization is now part of the compliant folder identity. Case-only changes such as dave van ronk -&gt; Dave Van Ronk must be written in Full Inventory/GUI or standalone Tag and Add Shows. Case-insensitive filesystems use a temporary sibling hop when source and differently-cased target are the same directory entry, without allocating an alternate/copy collision suffix.</w:t>
      </w:r>
    </w:p>
    <w:p>
      <w:r>
        <w:t>Build 471: replaces the case-folded Rename Compliantly no-op comparison with an exact path-name comparison and adds shared safe case-only rename handling for both inventory/tagging and Add Shows, preserving established collision behavior for genuinely distinct targets.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471 applies exact canonical capitalization for Rename Compliantly, including safe case-only folder renames.</dc:description>
  <cp:keywords>TLO, Inventory, Requirements, v1.6, Build 463, GUI, TLOHome, Search Path, Slam</cp:keywords>
  <dc:language>en-US</dc:language>
  <cp:lastModifiedBy/>
  <dcterms:modified xsi:type="dcterms:W3CDTF">2026-08-03T22:32:32Z</dcterms:modified>
  <cp:revision>1</cp:revision>
  <dc:subject>TLO v1.6 Build 469 requirements</dc:subject>
  <dc:title>TLO Inventory Requirements Working v469</dc:title>
</cp:coreProperties>
</file>