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v377 (v1.4 Build 377).</w:t>
      </w:r>
    </w:p>
    <w:p>
      <w:pPr>
        <w:pStyle w:val="Normal"/>
        <w:rPr/>
      </w:pPr>
      <w:r>
        <w:t>Document organization: Sections 1-19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v1.4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Store the DB master name (or the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ARTIST value to monopolize artist resolution. If an earlier sampled value is rejected as unmatched numeric/date-like noise, continue to later sampled ARTIST values and then ALBUMARTIST values according to the normal ARTIST-before-ALBUMARTIST precedence.</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t>If the pre-abbreviation path-artist check finds exactly one compatible DB-backed artist, use that artist and do not perform the abbreviation lookup for String1.</w:t>
      </w:r>
    </w:p>
    <w:p>
      <w:pPr>
        <w:pStyle w:val="ListBullet"/>
        <w:numPr>
          <w:ilvl w:val="0"/>
          <w:numId w:val="1"/>
        </w:numPr>
        <w:rPr/>
      </w:pPr>
      <w: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t>If the abbreviation tests pass, search the Artist DB abbreviation/alias terms for String1.</w:t>
      </w:r>
    </w:p>
    <w:p>
      <w:pPr>
        <w:pStyle w:val="ListBullet"/>
        <w:numPr>
          <w:ilvl w:val="0"/>
          <w:numId w:val="1"/>
        </w:numPr>
        <w:rPr/>
      </w:pPr>
      <w:r>
        <w:t>If the abbreviation resolves to exactly one master artist, use that master artist.</w:t>
      </w:r>
    </w:p>
    <w:p>
      <w:pPr>
        <w:pStyle w:val="ListBullet"/>
        <w:numPr>
          <w:ilvl w:val="0"/>
          <w:numId w:val="1"/>
        </w:numPr>
        <w:rPr/>
      </w:pPr>
      <w:r>
        <w:t>If the abbreviation resolves to multiple artists, record an artist collision and leave artist blank.</w:t>
      </w:r>
    </w:p>
    <w:p>
      <w:pPr>
        <w:pStyle w:val="ListBullet"/>
        <w:numPr>
          <w:ilvl w:val="0"/>
          <w:numId w:val="1"/>
        </w:numPr>
        <w:rPr/>
      </w:pPr>
      <w:r>
        <w:t>If the abbreviation does not resolve, continue with the normal String1 Artist DB lookup rules.</w:t>
      </w:r>
    </w:p>
    <w:p>
      <w:pPr>
        <w:pStyle w:val="ListBullet"/>
        <w:numPr>
          <w:ilvl w:val="0"/>
          <w:numId w:val="1"/>
        </w:numPr>
        <w:rPr/>
      </w:pPr>
      <w:r>
        <w:t>Do not apply abbreviation-only logic to String1 values separated from the date by whitespace.</w:t>
      </w:r>
    </w:p>
    <w:p>
      <w:pPr>
        <w:pStyle w:val="ListBullet"/>
        <w:numPr>
          <w:ilvl w:val="0"/>
          <w:numId w:val="1"/>
        </w:numPr>
        <w:rPr/>
      </w:pPr>
      <w:r>
        <w:t>Compliant mode uses the existing compliant path-pattern rules and is not changed by this non-compliant 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If String2 is not date-like, treat String2 as the album name. Store String2 in ALBUM_NAME. Do not parse, validate, or split String2 into venue/location fields.</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The replacement must be recorded as an observation. Setlist metadata must not overwrite stronger path evidence, eTreeDB evidence, or other non-path evidence. Artist remains fill-only at this stage. Equivalent values may be retained and corroborated without a disagreement observation.</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w:t>
      </w:r>
    </w:p>
    <w:p>
      <w:pPr>
        <w:pStyle w:val="ListBullet"/>
        <w:numPr>
          <w:ilvl w:val="0"/>
          <w:numId w:val="1"/>
        </w:numPr>
        <w:rPr/>
      </w:pPr>
      <w:r>
        <w:t>If String1 Date String2 is not found, check for String1 -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String1 - String2, no Date is assigned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t>There is no date. When --etree-lookup is false, the show name is Artist - String2.</w:t>
      </w:r>
    </w:p>
    <w:p>
      <w:pPr>
        <w:pStyle w:val="ListBullet"/>
        <w:numPr>
          <w:ilvl w:val="0"/>
          <w:numId w:val="1"/>
        </w:numPr>
        <w:rPr/>
      </w:pPr>
      <w:r>
        <w:t>For the String1 - String2 compliant case, there is no date. Do not assign xxxx-xx-xx for the compliant extraction record or generated setlist content.</w:t>
      </w:r>
    </w:p>
    <w:p>
      <w:pPr>
        <w:pStyle w:val="ListBullet"/>
        <w:numPr>
          <w:ilvl w:val="0"/>
          <w:numId w:val="1"/>
        </w:numPr>
        <w:rPr/>
      </w:pPr>
      <w:r>
        <w:t>The generated setlist text filename for this compliant case must include a dash between the sanitized Artist/String1 component and the sanitized String2 component: Artist-String2.</w:t>
      </w:r>
    </w:p>
    <w:p>
      <w:pPr>
        <w:pStyle w:val="Heading2"/>
        <w:rPr/>
      </w:pPr>
      <w:r>
        <w:t>8.4 String1 Date</w:t>
      </w:r>
    </w:p>
    <w:p>
      <w:pPr>
        <w:pStyle w:val="ListBullet"/>
        <w:numPr>
          <w:ilvl w:val="0"/>
          <w:numId w:val="1"/>
        </w:numPr>
        <w:rPr/>
      </w:pPr>
      <w:r>
        <w:t>If String1 Date String2 and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and --setlistfm-lookup both default to false.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per-run cap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and setlist.fm.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and a checkbox titled setlist.fm, mapped to --setlistfm-lookup.</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intentionally empty; Column 2 As-Is Artist Name; Column 3 Tag Copy/Delete Original; Column 4 Dry run. Artist in Album Tag defaults to 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v1.4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Quit, Inventory (full), Pause, and Resume buttons in the main button row. Include a Dry run checkbox in the main options grid. Tag must display at the far left. Add Shows (incremental) and Inventory (full) must each display as centered two-line labels.</w:t>
      </w:r>
    </w:p>
    <w:p>
      <w:pPr>
        <w:pStyle w:val="ListBullet"/>
        <w:numPr>
          <w:ilvl w:val="0"/>
          <w:numId w:val="1"/>
        </w:numPr>
        <w:rPr/>
      </w:pPr>
      <w:r>
        <w:t>Main button layout: Tag is at the far left, Add Shows / (incremental) is immediately to its right, Quit is centered, and Inventory / (full), Pause, and Resume are grouped on the right. All main-row buttons must have the same height.</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w:t>
      </w:r>
    </w:p>
    <w:p>
      <w:pPr>
        <w:pStyle w:val="ListBullet"/>
        <w:numPr>
          <w:ilvl w:val="0"/>
          <w:numId w:val="1"/>
        </w:numPr>
        <w:rPr/>
      </w:pPr>
      <w:r>
        <w:t>The main GUI window title bar must read TLO Inventory GUI v1.4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v1.4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Rename Compliantly; Tag Copy; Convert shn; As-Is Artist Name; Tag Copy/Delete Original; Dry run. After that common section, report workflow-specific paths or path sources, destinations, duplicate checking, performance settings, applicable warnings, and whether original files may be changed. Tag must identify the inventory copy modes as reported but not used. Add Shows must identify Tag Copy and Tag Copy/Delete Original as reported but not used. The user may Start or Go Back.</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be the active/default action for the Research dialog, and pressing Enter while focus is anywhere within that Research dialog shall be equivalent to Search.</w:t>
      </w:r>
    </w:p>
    <w:p>
      <w:pPr/>
      <w:r>
        <w:t>A successful GUI research operation shall display the same formatted result produced by the standalone tlo-research command in a new non-wrapping text window with vertical scrolling and a horizontal scrollbar along the bottom of the results box. Search errors, missing TLOHome/logs, or invalid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active-run tokenized logs, and exit the process.</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r>
        <w:t>External requests, interprocess coordination waits, and converter invocations must use finite timeouts. The setlist.fm state location, atomic-write rules, 20-second reservation-lock deadline, request spacing, and per-run cap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r>
        <w:t>The flat source-bundle root shall retain test_tlo_requirements.py as a compatibility entry point for TLO_GitHub_Build_Process_v054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continue. Failure to repair a corrupt FLAC shall not retain an otherwise qualifying duplicate directory: every non-keeper member of that content-equivalence cluster shall still be moved into the duplicates holding folder. The selected keeper directory itself shall never be moved.</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t>Appendix B - Open Issues and Future Clarifications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Rename Compliantly, Tag Copy, Convert shn, As-Is Artist Name, Tag Copy/Delete Original, Dry run, Add Shows (incremental),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numPr>
          <w:ilvl w:val="0"/>
          <w:numId w:val="1"/>
        </w:numPr>
        <w:rPr/>
      </w:pPr>
      <w:r>
        <w:t>setlist.fm requests must be rate-limited to at most one request every 600 milliseconds across local inventory worker processes.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setlist.fm requests must also be capped at 1,400 calls per inventory run. The cap applies across local inventory worker processes for the same run. A worker may wait no more than 20 seconds to acquire the interprocess reservation lock. On timeout, the setlist.fm lookup must record an observation and allow inventory to continue without that lookup rather than wait indefinitely.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371: wrapper-term metadata path and unmatched tag artist precedence corrections.</dc:description>
  <cp:keywords>TLO, Inventory, Requirements, v1.4, Build 376, partial dates, 19xx, 20xx</cp:keywords>
  <dc:language>en-US</dc:language>
  <cp:lastModifiedBy/>
  <dcterms:modified xsi:type="dcterms:W3CDTF">2026-08-03T22:32:32Z</dcterms:modified>
  <cp:revision>1</cp:revision>
  <dc:subject>TLO v1.4 Build 377 requirements</dc:subject>
  <dc:title>TLO Inventory Requirements Working v374</dc:title>
</cp:coreProperties>
</file>