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rPr/>
      </w:pPr>
      <w:r>
        <w:t>Traders Little Organizer Requirements - Consolidated Current Specification</w:t>
      </w:r>
    </w:p>
    <w:p>
      <w:pPr>
        <w:pStyle w:val="Normal"/>
        <w:keepNext/>
        <w:rPr/>
      </w:pPr>
      <w:r>
        <w:t>Purpose: To provide a set of functions for music traders and collectors who want to inventory, tag, search, update, manage and share a collection of music performances. The goal is to identify performance Artist, Date, Venue, Location (City, State/Region, and Country*) and disk storage location of each show, provide a collection of setlist files and make the data linked and searchable.</w:t>
      </w:r>
    </w:p>
    <w:p>
      <w:pPr>
        <w:keepNext/>
        <w:spacing w:before="0" w:after="120"/>
      </w:pPr>
      <w:r>
        <w:t>*Only if the country is not the United States</w:t>
      </w:r>
    </w:p>
    <w:p>
      <w:pPr>
        <w:pStyle w:val="Normal"/>
        <w:rPr/>
      </w:pPr>
      <w:r>
        <w:t>Note: List-based logic referenced throughout this document is defined in Appendix E, with schema details in Appendix G. Specific list references are called out beside the relevant requirements. Appendix E sections are: E1 File Types and File-Name Related Lists; E2 Phase 1 Directory Pruning and Wrapper Detection; E3 Setlist Identification, Housekeeping, and Checksum Lists; E4 Date, Month, and Placeholder Pattern Lists; E5 Location, State, Country, and City Lists; E6 Qualifier, 24-bit, and Technical Artist Noise Lists; E7 Artist, Database, and Metadata Support Lists; E8 GUI, Logging, Boolean, and Support Enumerations.</w:t>
      </w:r>
    </w:p>
    <w:p>
      <w:pPr>
        <w:pStyle w:val="Normal"/>
        <w:rPr/>
      </w:pPr>
      <w:r/>
    </w:p>
    <w:p>
      <w:pPr>
        <w:rPr/>
      </w:pPr>
      <w:r>
        <w:t>This document defines the current TLO inventory requirements for search paths, accessibility, startup validation, logging, cleanup, CLI behavior, GUI behavior, metadata extraction, aggregation, and appendices. Current document version: v584 (TLO v1.7).</w:t>
      </w:r>
    </w:p>
    <w:p>
      <w:pPr>
        <w:rPr/>
      </w:pPr>
      <w:r>
        <w:t>Consolidation status: current normative behavior is stated in the owning requirement sections. Section 20 is the dedicated destructive-operations safety chapter and Section 21 is the concise revision-pointer index. Detailed historical build narratives are archived in old-change-logs.zip. Stable requirement IDs are used first for destructive, safety, transfer, Copy Request, and updater requirements and are extended section by section.</w:t>
      </w:r>
    </w:p>
    <w:p>
      <w:pPr>
        <w:pStyle w:val="Normal"/>
        <w:rPr/>
      </w:pPr>
      <w:r>
        <w:t>Document organization: Sections 0-21 and Appendices A, B, and D-I are the authoritative current requirements. Appendix C remains intentionally retired so historical references to Appendices D-I remain stable.</w:t>
      </w:r>
    </w:p>
    <w:p>
      <w:pPr>
        <w:pStyle w:val="Heading1"/>
      </w:pPr>
      <w:r>
        <w:t>0. Definitions and Requirement Keywords</w:t>
      </w:r>
    </w:p>
    <w:p>
      <w:pPr/>
      <w:r>
        <w:t>Normative keywords: uppercase and lowercase MUST/must and SHALL/shall mean a mandatory requirement; MUST NOT/must not and SHALL NOT/shall not mean a prohibition; SHOULD/should means a recommended behavior that may be departed from only for a documented reason; MAY/may means permitted behavior. These meanings apply throughout the normative sections regardless of capitalization.</w:t>
      </w:r>
    </w:p>
    <w:p>
      <w:pPr/>
      <w:r>
        <w:t>Terminology: “Full Inventory” is the full tlo-main Inventory action; “Add New Shows” is the main-window button that opens the Add Shows workflow; “Process New Shows” and “Process Potential Duplicate/Upgrades” are actions inside Add Shows. “Manual Updates” is the child window historically reached through the Manual Tweaks command. “Main GUI” is the primary tlo-main graphical interface; “Path(s)” is its main input. “Search Path” is the underlying inventory-root concept and --search-path is its CLI form. “etreeDB” is the GUI label; “eTreeDB” names the external service. “Artist in Album” is the GUI label for the Artist-in-Album tagging rule. “Trash/Recycle Bin” means the platform trash mechanism and never permanent-delete fallback behavior.</w:t>
      </w:r>
    </w:p>
    <w:p>
      <w:pPr/>
      <w:r>
        <w:t>Examples introduced by “for example”, “e.g.”, or “such as” are illustrative unless the requirement explicitly states that the list is exhaustive. Named constants or shared policy modules referenced by a requirement are normative sources for enumerated implementation values; copied appendix lists are descriptive aids and must not override the governing policy.</w:t>
      </w:r>
    </w:p>
    <w:p>
      <w:pPr>
        <w:pStyle w:val="Heading1"/>
        <w:rPr/>
      </w:pPr>
      <w:r>
        <w:t>1. Core Output and Processing Requirements</w:t>
      </w:r>
    </w:p>
    <w:p>
      <w:pPr>
        <w:pStyle w:val="Heading2"/>
      </w:pPr>
      <w:r>
        <w:t>1.1 General Metadata and Output Constraints</w:t>
      </w:r>
    </w:p>
    <w:p>
      <w:pPr>
        <w:pStyle w:val="ListBullet"/>
        <w:numPr>
          <w:ilvl w:val="0"/>
          <w:numId w:val="1"/>
        </w:numPr>
        <w:rPr/>
      </w:pPr>
      <w:r>
        <w:t>The system must identify Artist, Date, Venue, and Location: City, State/Region, and Country only when the country is not the United States.</w:t>
      </w:r>
    </w:p>
    <w:p>
      <w:pPr>
        <w:pStyle w:val="ListBullet"/>
        <w:numPr>
          <w:ilvl w:val="0"/>
          <w:numId w:val="1"/>
        </w:numPr>
        <w:rPr/>
      </w:pPr>
      <w:r>
        <w:t>Normalize single quotes so that curly quotes, backticks, and other apostrophe variants do not cause search failures.</w:t>
      </w:r>
    </w:p>
    <w:p>
      <w:pPr>
        <w:pStyle w:val="Normal"/>
        <w:rPr/>
      </w:pPr>
      <w:r>
        <w:t>When TLO writes user-facing names or audio metadata values, normalize them to standard printable ASCII. This applies to Show Names, compliant folder names and copy/move targets, generated setlist filename bases, and audio tag Artist, Album, and Title values. Accented Latin characters such as umlauts must be transliterated to plain ASCII equivalents, smart punctuation must be converted to ordinary ASCII punctuation, and remaining non-ASCII/control characters must be removed before writing.</w:t>
      </w:r>
    </w:p>
    <w:p>
      <w:pPr>
        <w:pStyle w:val="Heading2"/>
      </w:pPr>
      <w:r>
        <w:t>1.2 Exported Setlist Filename Rules</w:t>
      </w:r>
    </w:p>
    <w:p>
      <w:pPr>
        <w:pStyle w:val="ListBullet"/>
        <w:numPr>
          <w:ilvl w:val="0"/>
          <w:numId w:val="1"/>
        </w:numPr>
        <w:rPr/>
      </w:pPr>
      <w:r>
        <w:t>When writing setlist .txt files to the setlists directory, name each exported file using the concatenated metadata fields Artist + Date + Venue + Location. Remove filename-unsafe and extra characters from Artist, Venue, Location, Parentheticals, and ordinary fallback Show-name text, but preserve ampersands (&amp;) because they are meaningful in artist, venue, album, and show names. Preserve dash characters in Date, including complete dates and date ranges. If fallback Show-name text is used because discrete metadata fields are incomplete, normalize compact date-like substrings before sanitizing: yyyymmdd becomes yyyy-mm-dd when valid, and compact plausible year ranges such as yyyyyyyy become yyyy-yyyy. Do not remove the dashes introduced by this normalization. If a String1 - String2 record has no parsed Date but String2 itself is date-like, preserve the literal artist/String2 separator and preserve the date dashes inside String2, for example Iris Dement - 1998-10-03 must export as IrisDement-1998-10-03.txt rather than IrisDement-19981003.txt. Search/open filename generation in tlo-search must use this same normalization so a Show value resolves to the exact filename inventory creates; non-date dashes such as the dash in (pre-fm) are removed, while yyyy-mm-dd date dashes are preserved.</w:t>
      </w:r>
    </w:p>
    <w:p>
      <w:pPr>
        <w:pStyle w:val="Normal"/>
        <w:rPr/>
      </w:pPr>
      <w:r>
        <w:t>Do not strip or drop trailing parenthetical qualifiers when generating exported setlist filenames. This rule is universal: if a Show Name, album-style show name, or source main folder includes trailing parentheticals such as (SBD), (FM), (Volume 1), (Vol 2), or (v.3), the sanitized parenthetical text must remain part of the setlist filename base. Same-base Volume/Vol siblings therefore produce distinct setlist filenames based on their own parenthetical suffixes rather than relying on alternate collision suffixes. A recognized performance qualifier such as Early Show or Late Show must remain part of the final Show identity as a parenthesized suffix when it is not already present, so separate performances on the same date remain distinct.</w:t>
      </w:r>
    </w:p>
    <w:p>
      <w:pPr>
        <w:pStyle w:val="ListBullet"/>
        <w:numPr>
          <w:ilvl w:val="0"/>
          <w:numId w:val="1"/>
        </w:numPr>
        <w:rPr/>
      </w:pPr>
      <w:r>
        <w:t>Before applying setlist filename sanitization, normalize date-like tokens embedded in the base text. Compact yyyymmdd tokens must become yyyy-mm-dd, compact yyyyyyyy year ranges must become yyyy-yyyy, and separated date tokens using spaces, underscores, periods, or extra dashes must be normalized to yyyy-mm-dd. Separator dashes around the date token are not preserved as extra artist/date punctuation; the date dashes inside the normalized date are preserved. Date-like String2 values in String1 - String2 records must not be duplicated by also extracting the same token as a fallback Date for the output filename.</w:t>
      </w:r>
    </w:p>
    <w:p>
      <w:pPr>
        <w:pStyle w:val="ListBullet"/>
      </w:pPr>
      <w:r>
        <w:t>Supported normalized partial dates in Show values must preserve their internal date dashes when forming exported setlist filenames. For example, 1973-12-xx must remain 1973-12-xx, not 197312xx. Collection Search must use the same postprocess filename-creation helper used for inventory exports rather than a separate normalization algorithm.</w:t>
      </w:r>
    </w:p>
    <w:p>
      <w:pPr>
        <w:pStyle w:val="Heading2"/>
      </w:pPr>
      <w:r>
        <w:t>1.3 Generated Setlist Content</w:t>
      </w:r>
    </w:p>
    <w:p>
      <w:pPr>
        <w:pStyle w:val="Normal"/>
        <w:rPr/>
      </w:pPr>
      <w:r>
        <w:t>Generated setlist file when no source setlist exists: If no usable setlist file is found for a show, create a setlist .txt file during postprocess. The output file name must still be based on the normal Artist + Date + Venue + Location setlist naming rule. The generated file contents must put Artist, Date, Venue, and Location at the top, each on its own line and omitting any missing metadata value. After a blank line, include a TRACKS: heading and one numbered row per recognized music file, deriving the row title from the music filename when possible rather than copying the raw filename as the title. Do not copy any original placeholder setlist into TLOHome/setlists when this generated file is used.</w:t>
      </w:r>
    </w:p>
    <w:p>
      <w:pPr>
        <w:pStyle w:val="Normal"/>
        <w:rPr/>
      </w:pPr>
      <w:r>
        <w:t>Legacy placeholder setlist regeneration: If a selected source setlist contains only the text "Folder never contained an info file" case-insensitively, allowing punctuation, whitespace, and normal single-quote variants, treat that source as a marker-only placeholder. Do not copy the marker-only source text into TLOHome/setlists. Instead, create or replace info-gen.txt in the associated MAIN_DIR_PATH folder and use that generated content for the normal TLOHome/setlists export. info-gen.txt must contain only known metadata using explicit Artist:, Date:, Venue:, and Location: lines, omitting any unknown metadata field, followed by the exact basenames of recognized music files as File: filename.ext rows. The original marker file is left unchanged. If the marker appears along with other usable content, do not generate info-gen.txt solely because the marker text is present; parse and export that source normally. On later inventories, a real/generated info file must rank ahead of the old marker-only placeholder, while a marker-only file remains selectable when it is the only usable candidate so regeneration can occur.</w:t>
      </w:r>
    </w:p>
    <w:p>
      <w:pPr>
        <w:pStyle w:val="Heading2"/>
      </w:pPr>
      <w:r>
        <w:t>1.4 Timing and Postprocess Reporting</w:t>
      </w:r>
    </w:p>
    <w:p>
      <w:pPr>
        <w:pStyle w:val="ListBullet"/>
        <w:numPr>
          <w:ilvl w:val="0"/>
          <w:numId w:val="1"/>
        </w:numPr>
        <w:rPr/>
      </w:pPr>
      <w:r>
        <w:t>Add an overall elapsed-time timer: initialize at program startup, stop immediately before program exit, and print the elapsed time to the console in the following format:</w:t>
      </w:r>
    </w:p>
    <w:p>
      <w:pPr>
        <w:pStyle w:val="Normal"/>
        <w:rPr/>
      </w:pPr>
      <w:r>
        <w:t>Elapsed time: xx.xx minutes</w:t>
      </w:r>
    </w:p>
    <w:p>
      <w:pPr>
        <w:pStyle w:val="Normal"/>
        <w:rPr/>
      </w:pPr>
      <w:r>
        <w:t>After the inventory worker phase completes, postprocess must print concise status lines to the console with a POSTPROCESS: prefix for each major finalization stage, including reading metadata logs, resolving existing bootlist/volume policy, preparing the setlists directory, exporting setlists/building bootlist rows, writing bootlist.csv, writing unidentifiedShows.txt, writing artistsNotInDatabase.txt, and writing summary.log. Setlist export progress must be throttled so large runs do not flood the console with frequent X/Y processed messages; report only coarse progress plus completion.</w:t>
      </w:r>
    </w:p>
    <w:p>
      <w:pPr>
        <w:rPr/>
      </w:pPr>
      <w:r>
        <w:t>For every path-scoped re-inventory that replaces existing bootlist rows, postprocess must reconcile the old replacement population with the new scan before final output is considered complete. The reconciliation must report each affected volume/path scope, previous bootlist rows replaced, Stage 2 groups prepared, the prepared-versus-previous delta, Stage 3 metadata records, groups omitted before metadata output, groups removed for proven corruption, final new bootlist rows, unresolved records omitted from bootlist output, the net replacement-row change, and the current unresolved/corruption-removed paths when any exist. TLOHome/logs/reinventoryDelta.log must additionally account for every previous bootlist row with an evidence-based disposition: UNCHANGED, METADATA_CHANGED, RENAMED, RENAMED_METADATA_CHANGED, SPLIT, MERGED, REGROUPED, CORRUPTION_REMOVED, UNRESOLVED, or MISSING. It must separately list current NEW rows that have no previous-row disposition. Each detailed entry must include the old Show/path, any corresponding current Show/path values, and a concise reason. A rename or transfer may be classified as such only when the current metadata record preserves its first pre-mutation MAIN_DIR_PATH as ORIGINAL_MAIN_DIR_PATH; corruption removal must preserve the removed show-root path for reconciliation. Anything without affirmative evidence remains MISSING rather than being guessed away. Write the full per-entry detail append-only to TLOHome/logs/reinventoryDelta.log. Append the compact count/disposition summary (not thousands of per-row detail blocks) to summary.log and print one concise POSTPROCESS: re-inventory reconciliation status line to the console. The counts are diagnostic accounting; a changed row count is not by itself an error, but every reduction between prepared groups, Stage 3 records, and final rows must be visible.</w:t>
      </w:r>
    </w:p>
    <w:p>
      <w:pPr>
        <w:pStyle w:val="Heading2"/>
      </w:pPr>
      <w:r>
        <w:t>1.5 Parallel Postprocess Assembly</w:t>
      </w:r>
    </w:p>
    <w:p>
      <w:pPr>
        <w:pStyle w:val="Normal"/>
        <w:rPr/>
      </w:pPr>
      <w:r>
        <w:t>When postprocess exports setlists and builds bootlist rows, it may split the work into parallel pieces according to the selected performance mode. The split must group records by normalized/truncated setlist filename base so duplicate shows and alternate setlist files cannot span worker boundaries. Each parallel piece may produce bootlist rows and setlist files for its filename-base group, but the final bootlist.csv write must remain single-threaded after all pieces are stitched, sorted, and combined with any kept existing rows. The number of filename-base groups is not the number of executor threads: postprocess must bound the ThreadPoolExecutor worker count, honor a positive --max-workers/Max Workers value, and never attempt to create one operating-system thread per filename group.</w:t>
      </w:r>
    </w:p>
    <w:p>
      <w:pPr>
        <w:pStyle w:val="Heading1"/>
        <w:rPr/>
      </w:pPr>
      <w:r>
        <w:t>2. Search Path, Accessibility, and Execution Requirements</w:t>
      </w:r>
    </w:p>
    <w:p>
      <w:pPr>
        <w:pStyle w:val="Heading2"/>
        <w:rPr/>
      </w:pPr>
      <w:r>
        <w:t>2.1 Sources of Search Paths</w:t>
      </w:r>
    </w:p>
    <w:p>
      <w:pPr>
        <w:pStyle w:val="ListBullet"/>
        <w:numPr>
          <w:ilvl w:val="0"/>
          <w:numId w:val="1"/>
        </w:numPr>
        <w:rPr/>
      </w:pPr>
      <w:r>
        <w:t>Search Path is required for every Full Inventory run. In the GUI it is entered in the main Path(s) text box; on the inventory CLI it is supplied with --search-path STRING.</w:t>
      </w:r>
    </w:p>
    <w:p>
      <w:pPr>
        <w:pStyle w:val="ListBullet"/>
        <w:numPr>
          <w:ilvl w:val="0"/>
          <w:numId w:val="1"/>
        </w:numPr>
        <w:rPr/>
      </w:pPr>
      <w:r>
        <w:t>Path(s) may contain one or more semicolon-separated entries. A direct entry uses the same inventory-control grammar formerly used by one toBeInventoried.txt line: optional [Volume] prefix, a fully qualified path, and optional --/slam ARTIST_NAME, --/copy DESTINATION, or --/copy-delete DESTINATION directives. Commas and apostrophes/single quotes are ordinary characters inside paths and directive values and do not require quoting. Matching double quotes remain accepted when users prefer them. A Path(s) entry whose physical path ends in .txt is treated as an inventory-control file under the established line/comment rules.</w:t>
      </w:r>
    </w:p>
    <w:p>
      <w:pPr>
        <w:pStyle w:val="Normal"/>
        <w:rPr/>
      </w:pPr>
      <w:r>
        <w:t>Before inventory workers start, identify each search root by visible volume name plus the path below that volume. The physical drive letter, such as E: or F:, and WSL mount prefix, such as /mnt/e or /mnt/f, are not part of the stored inventory identity. Existing groups*.log files may contain more than one top-of-file SEARCH_PATH line for the same token; startup must read every header SEARCH_PATH value, falling back to legacy groupsLog header text only when SEARCH_PATH is absent.</w:t>
      </w:r>
    </w:p>
    <w:p>
      <w:pPr>
        <w:pStyle w:val="Normal"/>
        <w:rPr/>
      </w:pPr>
      <w:r>
        <w:t>For existing-log comparison and bootlist replacement, strip any Windows drive letter or WSL mount prefix from both the queued search path and the stored log/header/bootlist path before testing exact, parent, child, or subtree relationships. The visible volume name is compared separately. bootlist.csv and top-of-log SEARCH_PATH headers must write the rootless path; detailed structured records such as MAIN_DIR_PATH may still preserve the physical path used by the scan for diagnostics and file access.</w:t>
      </w:r>
    </w:p>
    <w:p>
      <w:pPr>
        <w:pStyle w:val="Normal"/>
        <w:rPr/>
      </w:pPr>
      <w:r>
        <w:t>For a nonblank visible volume label, same-volume path handling is deterministic and does not ask the user for Skip/Re-inventory. If the new path is the same as an existing stored path, replace the related token logs with the new inventory. If the new path is a parent of an existing stored path, replace the existing log contents for that volume/token with the new parent inventory. If the new path is a child of an existing stored path, prune existing log entries under that child path and append the new child inventory to the existing token. If the new path has no overlap with the existing stored paths for that volume, append the rootless path to the log header and append the new inventory entries to that volume token.</w:t>
      </w:r>
    </w:p>
    <w:p>
      <w:pPr>
        <w:pStyle w:val="Normal"/>
        <w:rPr/>
      </w:pPr>
      <w:r>
        <w:t>A blank visible volume label is an append-only special case. There is only one blank-volume log set. When the visible volume label is blank, log SEARCH_PATH headers must be written as [] with no path. Blank-label inventories never trigger skip, overwrite, or re-inventory decisions; every blank-label run appends to the blank-volume log set. The user is responsible for tracking blank-label drives and cleaning duplicates if the same content is scanned more than once.</w:t>
      </w:r>
    </w:p>
    <w:p>
      <w:pPr/>
      <w:r>
        <w:t>REQ-PHYSICAL-DRIVE-001  On native Windows, physical-disk scheduling may query Get-Partition/Get-Disk using only the PowerShell executable under System32\WindowsPowerShell\v1.0 obtained from the trusted Windows directory API (GetSystemWindowsDirectoryW / GetWindowsDirectoryW). Never locate this executable using PATH, the process current directory, or environment variables. If the API directory is missing, malformed, or the command fails, report unknown physical-drive identity and use existing visible-volume scheduling fallback rather than executing another binary. Under WSL, keep the separate interoperable powershell.exe discovery path.</w:t>
      </w:r>
    </w:p>
    <w:p>
      <w:pPr>
        <w:pStyle w:val="Normal"/>
        <w:rPr/>
      </w:pPr>
      <w:r>
        <w:t>When more than one accessible search path is queued, scheduling is based on the resolved visible volume label and a best-effort runtime physical-drive identity. Labeled volumes are processed before blank-label volumes. Labeled volumes on different physical drives may run in parallel; labeled volumes detected on the same physical hard drive must be placed in one serial worker group to avoid competing I/O. Every path whose resolved visible volume label is blank must be searched serially after labeled-volume work completes, sorted by drive letter or WSL /mnt/&lt;drive&gt; letter. Paths with nonblank visible volume labels are eligible for parallel processing according to Performance Mode and Max Workers. Different named volumes may run concurrently. Multiple roots that resolve to the same named volume must remain serial within one volume worker so they cannot write the same tokenized log files concurrently. On native Windows, any PowerShell helper used to resolve physical-drive identity must run without creating a visible console or Windows Terminal window.</w:t>
      </w:r>
    </w:p>
    <w:p>
      <w:pPr>
        <w:pStyle w:val="Normal"/>
        <w:rPr/>
      </w:pPr>
      <w:r>
        <w:t>When multiple queued search paths share the same nonblank visible volume and do not overlap, the dispatcher must assign or reuse one token for that visible volume and append each non-overlapping root to the token header. A mixed run that replaces one same-volume subtree and adds another same-volume non-overlapping path must preserve unrelated existing bootlist rows and must not fail volume-action validation.</w:t>
      </w:r>
    </w:p>
    <w:p>
      <w:pPr>
        <w:pStyle w:val="ListBullet"/>
        <w:numPr>
          <w:ilvl w:val="0"/>
          <w:numId w:val="1"/>
        </w:numPr>
        <w:rPr/>
      </w:pPr>
      <w:r>
        <w:t>TLOHome/toBeInventoried.txt is not an automatic inventory input. Full Inventory must never fall back to or silently read that file when Search Path is blank. The file remains distributed in COMPLETE installations only as an example/template; to use it, the user must explicitly enter its fully qualified .txt path in Search Path. Any other .txt filename is equally valid when explicitly supplied through Search Path.</w:t>
      </w:r>
    </w:p>
    <w:p>
      <w:pPr>
        <w:pStyle w:val="ListBullet"/>
        <w:numPr>
          <w:ilvl w:val="0"/>
          <w:numId w:val="1"/>
        </w:numPr>
        <w:rPr/>
      </w:pPr>
      <w:r>
        <w:t>On native Windows only, the GUI Path(s) text box accepts drag/drop from File Explorer. Each Windows/TkDND drop payload must be processed as the complete file list supplied by File Explorer, so one drop may contain one or more folders and/or .txt control files and every selected item is retained. Every dropped item is converted using the established Path(s) drop rules, then appended to the existing Path(s) value in payload order with semicolons inserted automatically. Repeated drag actions are cumulative. For example, dropping A, then B, then C and D together produces A;B;C;D. Commas inside dropped paths remain ordinary path characters and do not require automatic quoting.</w:t>
      </w:r>
    </w:p>
    <w:p>
      <w:pPr>
        <w:pStyle w:val="ListBullet"/>
        <w:numPr>
          <w:ilvl w:val="0"/>
          <w:numId w:val="1"/>
        </w:numPr>
        <w:rPr/>
      </w:pPr>
      <w:r>
        <w:t>Under WSL and regular Linux, Search Path drag/drop is not an available feature. The GUI must not register or advertise a file-drop target on WSL or regular Linux; users should type/paste the required Search Path or use --search-path. A .txt control file is used only when its fully qualified path is explicitly supplied in Search Path.</w:t>
      </w:r>
    </w:p>
    <w:p>
      <w:pPr>
        <w:pStyle w:val="ListBullet"/>
        <w:numPr>
          <w:ilvl w:val="0"/>
          <w:numId w:val="1"/>
        </w:numPr>
        <w:rPr/>
      </w:pPr>
      <w:r>
        <w:t>For a .txt inventory-control file supplied through Search Path, blank lines and lines whose first non-whitespace character is # are ignored. Lines beginning with REM remain accepted as comments. Each remaining line is one inventory root using the established inventory-control line format.</w:t>
      </w:r>
    </w:p>
    <w:p>
      <w:pPr>
        <w:pStyle w:val="ListBullet"/>
        <w:numPr>
          <w:ilvl w:val="0"/>
          <w:numId w:val="1"/>
        </w:numPr>
        <w:rPr/>
      </w:pPr>
      <w:r>
        <w:t>Each direct Search Path entry and each non-comment .txt control-file line may include optional per-path directives after the path: --/slam ARTIST_NAME, --/copy DESTINATION, and --/copy-delete DESTINATION. Directive order after the path does not matter, but --/copy and --/copy-delete are mutually exclusive on one entry.</w:t>
      </w:r>
    </w:p>
    <w:p>
      <w:pPr>
        <w:pStyle w:val="ListBullet"/>
        <w:numPr>
          <w:ilvl w:val="0"/>
          <w:numId w:val="1"/>
        </w:numPr>
        <w:rPr/>
      </w:pPr>
      <w:r>
        <w:t>When --/copy or --/copy-delete is used on a direct Search Path entry or inside a .txt control file, the destination must be an existing fully qualified directory. --/copy activates inventory-time Tag Copy for that path only and keeps inventory ownership with the original source tree. --/copy-delete activates Tag Copy/Delete Original for that path only. TLO must complete show grouping and metadata extraction from the original source tree before copying or moving the identified show folder. After transfer, tagging and final inventory output use the copied/moved destination tree, unless the main-window Tag Copy/Delete Original checkbox is active; in that case, the destination selected in its warning dialog is the global override.</w:t>
      </w:r>
    </w:p>
    <w:p>
      <w:pPr>
        <w:pStyle w:val="ListBullet"/>
        <w:numPr>
          <w:ilvl w:val="0"/>
          <w:numId w:val="1"/>
        </w:numPr>
        <w:rPr/>
      </w:pPr>
      <w:r>
        <w:t>Each search path string may optionally begin with a bracketed visible volume prefix immediately before the fully defined physical path. Accepted forms include [Volume]E:\path, [Volume]E:, [Volume]/mnt/e/path, [Volume]/mnt/e, and [Volume] /mnt/e/path. The bracketed value is the visible volume name and must be stored/logged without the brackets.</w:t>
      </w:r>
    </w:p>
    <w:p>
      <w:pPr>
        <w:pStyle w:val="ListBullet"/>
        <w:numPr>
          <w:ilvl w:val="0"/>
          <w:numId w:val="1"/>
        </w:numPr>
        <w:rPr/>
      </w:pPr>
      <w:r>
        <w:t>If no bracketed visible volume prefix is supplied, resolve the operating-system volume label for the physical search root and use that label as the visible volume name for search-path comparison and top-of-log writing. If the operating system reports no volume label, or reports a default non-identifying label of New Volume or Local Disk, the visible volume name remains the empty string, log headers are written as [] with no path, and the run uses the blank-label append-only policy. An explicit bracketed prefix, including an explicit [] blank prefix, is not replaced by the operating-system volume label; instead, if the operating-system volume label can be resolved, the explicit prefix must match the mounted drive label or the path is rejected before inventory processing starts. Explicit bracketed labels of [New Volume] or [Local Disk] are treated as blank visible volume labels.</w:t>
      </w:r>
    </w:p>
    <w:p>
      <w:pPr>
        <w:pStyle w:val="ListBullet"/>
        <w:numPr>
          <w:ilvl w:val="0"/>
          <w:numId w:val="1"/>
        </w:numPr>
        <w:rPr/>
      </w:pPr>
      <w:r>
        <w:t>Both quoted and unquoted path strings must be supported where the shell/platform allows them.</w:t>
      </w:r>
    </w:p>
    <w:p>
      <w:pPr>
        <w:pStyle w:val="ListBullet"/>
        <w:numPr>
          <w:ilvl w:val="0"/>
          <w:numId w:val="1"/>
        </w:numPr>
        <w:rPr/>
      </w:pPr>
      <w:r>
        <w:t>Windows drive-rooted search paths must preserve the complete user-supplied subtree when normalized for WSL/Linux, including comma-bearing artist folders such as D:\B-J\D\Dudek, Les. A non-root Windows path must never be reduced to only /mnt/&lt;drive&gt; during full inventory path normalization.</w:t>
      </w:r>
    </w:p>
    <w:p>
      <w:pPr>
        <w:pStyle w:val="Heading2"/>
        <w:rPr/>
      </w:pPr>
      <w:r>
        <w:t>2.2 Slam Association</w:t>
      </w:r>
    </w:p>
    <w:p>
      <w:pPr>
        <w:pStyle w:val="ListBullet"/>
        <w:numPr>
          <w:ilvl w:val="0"/>
          <w:numId w:val="1"/>
        </w:numPr>
        <w:rPr/>
      </w:pPr>
      <w:r>
        <w:t>A slam value may be associated with an individual direct Search Path entry or with an inventory root inside a .txt control file by using --/slam ARTIST_NAME.</w:t>
      </w:r>
    </w:p>
    <w:p>
      <w:pPr>
        <w:pStyle w:val="ListBullet"/>
        <w:numPr>
          <w:ilvl w:val="0"/>
          <w:numId w:val="1"/>
        </w:numPr>
        <w:rPr/>
      </w:pPr>
      <w:r>
        <w:t>The main GUI does not provide a separate Slam field. GUI users attach --/slam ARTIST_NAME to the applicable Path(s) entry or place it on the applicable line in a .txt control file. The command line may supply --/slam STRING for direct --search-path entries. Do not combine the separate command-line --/slam value with a .txt Search Path control file, and reject an entry that supplies both an inline and separate slam as ambiguous.</w:t>
      </w:r>
    </w:p>
    <w:p>
      <w:pPr>
        <w:pStyle w:val="ListBullet"/>
        <w:numPr>
          <w:ilvl w:val="0"/>
          <w:numId w:val="1"/>
        </w:numPr>
        <w:rPr/>
      </w:pPr>
      <w:r>
        <w:t>--/slam/--/slam must not be accepted by itself. If supplied without Search Path, report an error and exit.</w:t>
      </w:r>
    </w:p>
    <w:p>
      <w:pPr>
        <w:pStyle w:val="ListBullet"/>
        <w:numPr>
          <w:ilvl w:val="0"/>
          <w:numId w:val="1"/>
        </w:numPr>
        <w:rPr/>
      </w:pPr>
      <w:r>
        <w:t>If slam is non-empty for a search path, use slam as the artist for all groups under that path and skip artist identification for those groups.</w:t>
      </w:r>
    </w:p>
    <w:p>
      <w:pPr>
        <w:pStyle w:val="ListBullet"/>
        <w:numPr>
          <w:ilvl w:val="0"/>
          <w:numId w:val="1"/>
        </w:numPr>
        <w:rPr/>
      </w:pPr>
      <w:r>
        <w:t>Slam values are treated as supplied artist names for metadata purposes, then pass through the same downstream artist-name normalization and setlist-filename sanitization used for other artist names. Do not use filename-unsafe characters from slam values verbatim in generated setlist filenames.</w:t>
      </w:r>
    </w:p>
    <w:p>
      <w:pPr>
        <w:pStyle w:val="Heading2"/>
        <w:rPr/>
      </w:pPr>
      <w:r>
        <w:t>2.3 TLOHome Resolution</w:t>
      </w:r>
    </w:p>
    <w:p>
      <w:pPr>
        <w:pStyle w:val="ListBullet"/>
        <w:numPr>
          <w:ilvl w:val="0"/>
          <w:numId w:val="1"/>
        </w:numPr>
        <w:rPr/>
      </w:pPr>
      <w:r>
        <w:t>Resolve TLOHome before loading input files or databases.</w:t>
      </w:r>
    </w:p>
    <w:p>
      <w:pPr>
        <w:pStyle w:val="ListBullet"/>
        <w:numPr>
          <w:ilvl w:val="0"/>
          <w:numId w:val="1"/>
        </w:numPr>
        <w:rPr/>
      </w:pPr>
      <w:r>
        <w:t>TLOHome precedence must be: --myTLO, then --TLOHome, then the TLOHome environment variable.</w:t>
      </w:r>
    </w:p>
    <w:p>
      <w:pPr>
        <w:pStyle w:val="ListBullet"/>
        <w:numPr>
          <w:ilvl w:val="0"/>
          <w:numId w:val="1"/>
        </w:numPr>
        <w:rPr/>
      </w:pPr>
      <w:r>
        <w:t>--myTLO is undocumented and must override --TLOHome if both are supplied. This compatibility argument is accepted by tlo-gi.py, tlo-main.py, and tlo-research.py, but must not appear as a visible GUI input field or ordinary user-facing help option.</w:t>
      </w:r>
    </w:p>
    <w:p>
      <w:pPr>
        <w:pStyle w:val="ListBullet"/>
        <w:numPr>
          <w:ilvl w:val="0"/>
          <w:numId w:val="1"/>
        </w:numPr>
        <w:rPr/>
      </w:pPr>
      <w:r>
        <w:t>If no TLOHome source is available, present a readable startup error.</w:t>
      </w:r>
    </w:p>
    <w:p>
      <w:pPr>
        <w:pStyle w:val="Heading2"/>
        <w:rPr/>
      </w:pPr>
      <w:r>
        <w:t>2.4 Path Normalization</w:t>
      </w:r>
    </w:p>
    <w:p>
      <w:pPr>
        <w:pStyle w:val="ListBullet"/>
        <w:numPr>
          <w:ilvl w:val="0"/>
          <w:numId w:val="1"/>
        </w:numPr>
        <w:rPr/>
      </w:pPr>
      <w:r>
        <w:t>Normalize search paths consistently across Linux, Windows, WSL, and macOS.</w:t>
      </w:r>
    </w:p>
    <w:p>
      <w:pPr>
        <w:pStyle w:val="ListBullet"/>
        <w:numPr>
          <w:ilvl w:val="0"/>
          <w:numId w:val="1"/>
        </w:numPr>
        <w:rPr/>
      </w:pPr>
      <w:r>
        <w:t>Windows paths such as E:\B-J\G must be accepted on Windows.</w:t>
      </w:r>
    </w:p>
    <w:p>
      <w:pPr>
        <w:pStyle w:val="ListBullet"/>
        <w:numPr>
          <w:ilvl w:val="0"/>
          <w:numId w:val="1"/>
        </w:numPr>
        <w:rPr/>
      </w:pPr>
      <w:r>
        <w:t>WSL mount paths such as /mnt/e/B-J/G must be accepted on WSL/Linux.</w:t>
      </w:r>
    </w:p>
    <w:p>
      <w:pPr>
        <w:pStyle w:val="ListBullet"/>
        <w:numPr>
          <w:ilvl w:val="0"/>
          <w:numId w:val="1"/>
        </w:numPr>
        <w:rPr/>
      </w:pPr>
      <w:r>
        <w:t>When a Windows drive path such as E:\B-J\G and a WSL/Linux mount path such as /mnt/e/B-J/G refer to the same physical root on the current platform, normalize the physical path for scanning, but keep the bracketed visible volume name unchanged for log output and comparison.</w:t>
      </w:r>
    </w:p>
    <w:p>
      <w:pPr>
        <w:pStyle w:val="ListBullet"/>
        <w:numPr>
          <w:ilvl w:val="0"/>
          <w:numId w:val="1"/>
        </w:numPr>
        <w:rPr/>
      </w:pPr>
      <w:r>
        <w:t>Do not rely on brittle WSL mount assumptions; prefer checking whether the normalized path can be listed/read.</w:t>
      </w:r>
    </w:p>
    <w:p>
      <w:pPr>
        <w:pStyle w:val="Heading2"/>
        <w:rPr/>
      </w:pPr>
      <w:r>
        <w:t>2.5 Accessibility Checks</w:t>
      </w:r>
    </w:p>
    <w:p>
      <w:pPr>
        <w:pStyle w:val="ListBullet"/>
        <w:numPr>
          <w:ilvl w:val="0"/>
          <w:numId w:val="1"/>
        </w:numPr>
        <w:rPr/>
      </w:pPr>
      <w:r>
        <w:t>Before path scanning and path-worker dispatch, check every search root for accessibility.</w:t>
      </w:r>
    </w:p>
    <w:p>
      <w:pPr>
        <w:pStyle w:val="ListBullet"/>
        <w:numPr>
          <w:ilvl w:val="0"/>
          <w:numId w:val="1"/>
        </w:numPr>
        <w:rPr/>
      </w:pPr>
      <w:r>
        <w:t>For each inaccessible root, record and report the original path, normalized path, and reason.</w:t>
      </w:r>
    </w:p>
    <w:p>
      <w:pPr>
        <w:pStyle w:val="ListBullet"/>
        <w:numPr>
          <w:ilvl w:val="0"/>
          <w:numId w:val="1"/>
        </w:numPr>
        <w:rPr/>
      </w:pPr>
      <w:r>
        <w:t>Reasons should include at least: path does not exist, path is empty, or path is not readable.</w:t>
      </w:r>
    </w:p>
    <w:p>
      <w:pPr>
        <w:pStyle w:val="ListBullet"/>
        <w:numPr>
          <w:ilvl w:val="0"/>
          <w:numId w:val="1"/>
        </w:numPr>
        <w:rPr/>
      </w:pPr>
      <w:r>
        <w:t>Accessible roots proceed to inventory; inaccessible roots are reported and skipped unless all roots are inaccessible.</w:t>
      </w:r>
    </w:p>
    <w:p>
      <w:pPr>
        <w:pStyle w:val="ListBullet"/>
        <w:numPr>
          <w:ilvl w:val="0"/>
          <w:numId w:val="1"/>
        </w:numPr>
        <w:rPr/>
      </w:pPr>
      <w:r>
        <w:t>Print the root-preparation summary after accessibility checks.</w:t>
      </w:r>
    </w:p>
    <w:p>
      <w:pPr>
        <w:pStyle w:val="Normal"/>
        <w:rPr/>
      </w:pPr>
      <w:r>
        <w:t>Inventory roots loaded: X accessible, Y inaccessible</w:t>
      </w:r>
    </w:p>
    <w:p>
      <w:pPr>
        <w:pStyle w:val="Normal"/>
        <w:rPr/>
      </w:pPr>
      <w:r>
        <w:t>Inaccessible inventory roots: N</w:t>
      </w:r>
    </w:p>
    <w:p>
      <w:pPr>
        <w:pStyle w:val="Normal"/>
        <w:rPr/>
      </w:pPr>
      <w:r>
        <w:t xml:space="preserve">  ORIGINAL_PATH</w:t>
      </w:r>
    </w:p>
    <w:p>
      <w:pPr>
        <w:pStyle w:val="Normal"/>
        <w:rPr/>
      </w:pPr>
      <w:r>
        <w:t xml:space="preserve">    normalized: NORMALIZED_PATH</w:t>
      </w:r>
    </w:p>
    <w:p>
      <w:pPr>
        <w:pStyle w:val="Normal"/>
        <w:rPr/>
      </w:pPr>
      <w:r>
        <w:t xml:space="preserve">    reason: REASON</w:t>
      </w:r>
    </w:p>
    <w:p>
      <w:pPr>
        <w:pStyle w:val="Heading2"/>
        <w:rPr/>
      </w:pPr>
      <w:r>
        <w:t>2.6 Duplicate and Overlap Checks</w:t>
      </w:r>
    </w:p>
    <w:p>
      <w:pPr>
        <w:pStyle w:val="ListBullet"/>
        <w:numPr>
          <w:ilvl w:val="0"/>
          <w:numId w:val="1"/>
        </w:numPr>
        <w:rPr/>
      </w:pPr>
      <w:r>
        <w:t>Check all search roots for duplicate paths after normalization.</w:t>
      </w:r>
    </w:p>
    <w:p>
      <w:pPr>
        <w:pStyle w:val="ListBullet"/>
        <w:numPr>
          <w:ilvl w:val="0"/>
          <w:numId w:val="1"/>
        </w:numPr>
        <w:rPr/>
      </w:pPr>
      <w:r>
        <w:t>Reject overlapping search roots before scanning. Examples: /mnt/e/g and /mnt/e/g/more; E:\G and E:\G\More.</w:t>
      </w:r>
    </w:p>
    <w:p>
      <w:pPr>
        <w:pStyle w:val="ListBullet"/>
        <w:numPr>
          <w:ilvl w:val="0"/>
          <w:numId w:val="1"/>
        </w:numPr>
        <w:rPr/>
      </w:pPr>
      <w:r>
        <w:t>If overlapping roots are detected, report a readable error and do not start scanning.</w:t>
      </w:r>
    </w:p>
    <w:p>
      <w:pPr>
        <w:pStyle w:val="ListBullet"/>
        <w:numPr>
          <w:ilvl w:val="0"/>
          <w:numId w:val="1"/>
        </w:numPr>
        <w:rPr/>
      </w:pPr>
      <w:r>
        <w:t>Perform uniqueness and overlap checks before worker dispatch so collisions are detected early.</w:t>
      </w:r>
    </w:p>
    <w:p>
      <w:pPr>
        <w:pStyle w:val="ListBullet"/>
        <w:numPr>
          <w:ilvl w:val="0"/>
          <w:numId w:val="1"/>
        </w:numPr>
        <w:rPr/>
      </w:pPr>
      <w:r>
        <w:t>The User Manual must warn that OS-specific aliases, symlinks, junctions, mount aliases, or case-sensitive/case-insensitive equivalents may not all be detected as overlaps and can produce duplicate inventory entries if supplied as separate roots.</w:t>
      </w:r>
    </w:p>
    <w:p>
      <w:pPr>
        <w:pStyle w:val="Heading2"/>
        <w:rPr/>
      </w:pPr>
      <w:r>
        <w:t>2.7 Startup and Queue Reporting</w:t>
      </w:r>
    </w:p>
    <w:p>
      <w:pPr>
        <w:pStyle w:val="ListBullet"/>
        <w:numPr>
          <w:ilvl w:val="0"/>
          <w:numId w:val="1"/>
        </w:numPr>
        <w:rPr/>
      </w:pPr>
      <w:r>
        <w:t>Print a startup banner that includes the executable name, application version, and build number.</w:t>
      </w:r>
    </w:p>
    <w:p>
      <w:pPr>
        <w:pStyle w:val="ListBullet"/>
        <w:numPr>
          <w:ilvl w:val="0"/>
          <w:numId w:val="1"/>
        </w:numPr>
        <w:rPr/>
      </w:pPr>
      <w:r>
        <w:t>The startup banner build number comes from constants defined in the source package, not from the script filename or a command-line argument. The release change-description text must not be appended to the startup banner, including when debug is enabled.</w:t>
      </w:r>
    </w:p>
    <w:p>
      <w:pPr>
        <w:pStyle w:val="ListBullet"/>
        <w:numPr>
          <w:ilvl w:val="0"/>
          <w:numId w:val="1"/>
        </w:numPr>
        <w:rPr/>
      </w:pPr>
      <w:r>
        <w:t>Print Starting inventory after roots are loaded and validated.</w:t>
      </w:r>
    </w:p>
    <w:p>
      <w:pPr>
        <w:pStyle w:val="ListBullet"/>
        <w:numPr>
          <w:ilvl w:val="0"/>
          <w:numId w:val="1"/>
        </w:numPr>
        <w:rPr/>
      </w:pPr>
      <w:r>
        <w:t>When multiple accessible search paths exist, use the performance-controlled worker count for volume work groups. All blank-volume paths form one serial work group, sorted by drive letter or WSL /mnt/&lt;drive&gt; letter. Blank-volume work must start only after all labeled-volume work has completed; blank-volume roots do not run concurrently with labeled-volume roots. Each distinct nonblank visible volume label forms a visible-volume group, and roots sharing that label run serially inside the same worker. Before dispatch, named visible-volume groups that are detected on the same physical hard drive are combined into one serial physical-drive worker group. Named visible-volume groups on different physical drives may run in parallel. Parallel workers are used only when the effective worker count and named physical-drive work-group count are both greater than one.</w:t>
      </w:r>
    </w:p>
    <w:p>
      <w:pPr>
        <w:pStyle w:val="ListBullet"/>
        <w:numPr>
          <w:ilvl w:val="0"/>
          <w:numId w:val="1"/>
        </w:numPr>
        <w:rPr/>
      </w:pPr>
      <w:r>
        <w:t>Print a queued line for each search path, including the slam value even if blank.</w:t>
      </w:r>
    </w:p>
    <w:p>
      <w:pPr>
        <w:pStyle w:val="Normal"/>
        <w:rPr/>
      </w:pPr>
      <w:r>
        <w:t>Startup banner example: Starting tlo-gi &lt;current DISPLAY_VERSION&gt;. The displayed public version/build must come from tlo_version.DISPLAY_VERSION rather than from a hard-coded version string.</w:t>
      </w:r>
    </w:p>
    <w:p>
      <w:pPr>
        <w:pStyle w:val="Normal"/>
        <w:rPr/>
      </w:pPr>
      <w:r>
        <w:t>Starting inventory</w:t>
      </w:r>
    </w:p>
    <w:p>
      <w:pPr>
        <w:pStyle w:val="Normal"/>
        <w:rPr/>
      </w:pPr>
      <w:r>
        <w:t>Inventory roots loaded: X accessible, Y inaccessible</w:t>
      </w:r>
    </w:p>
    <w:p>
      <w:pPr>
        <w:pStyle w:val="Normal"/>
        <w:rPr/>
      </w:pPr>
      <w:r>
        <w:t>Parallel volume-group search enabled: N worker(s) for V named volume(s), B blank-volume group(s), and P search path(s)</w:t>
      </w:r>
    </w:p>
    <w:p>
      <w:pPr>
        <w:pStyle w:val="Normal"/>
        <w:rPr/>
      </w:pPr>
      <w:r>
        <w:t>Queued search path I: PATH | slam=VALUE</w:t>
      </w:r>
    </w:p>
    <w:p>
      <w:pPr>
        <w:pStyle w:val="Normal"/>
        <w:rPr/>
      </w:pPr>
      <w:r>
        <w:t>Queued search path I: PATH | slam=</w:t>
      </w:r>
    </w:p>
    <w:p>
      <w:pPr>
        <w:pStyle w:val="Normal"/>
        <w:rPr/>
      </w:pPr>
      <w:r>
        <w:t>Inventory performance mode: MODE | max workers: N</w:t>
      </w:r>
    </w:p>
    <w:p>
      <w:pPr>
        <w:pStyle w:val="Heading2"/>
        <w:rPr/>
      </w:pPr>
      <w:r>
        <w:t>2.8 Worker Completion Reporting</w:t>
      </w:r>
    </w:p>
    <w:p>
      <w:pPr>
        <w:pStyle w:val="ListBullet"/>
        <w:numPr>
          <w:ilvl w:val="0"/>
          <w:numId w:val="1"/>
        </w:numPr>
        <w:rPr/>
      </w:pPr>
      <w:r>
        <w:t>Each search path must emit the following status and completion lines exactly, except for substituted values.</w:t>
      </w:r>
    </w:p>
    <w:p>
      <w:pPr>
        <w:pStyle w:val="ListBullet"/>
        <w:numPr>
          <w:ilvl w:val="0"/>
          <w:numId w:val="1"/>
        </w:numPr>
        <w:rPr/>
      </w:pPr>
      <w:r>
        <w:t>The lines are suppressed when --silent is set.</w:t>
      </w:r>
    </w:p>
    <w:p>
      <w:pPr>
        <w:pStyle w:val="Normal"/>
        <w:rPr/>
      </w:pPr>
      <w:r>
        <w:t>Stage 2 starting: PATH</w:t>
      </w:r>
    </w:p>
    <w:p>
      <w:pPr>
        <w:pStyle w:val="Normal"/>
        <w:rPr/>
      </w:pPr>
      <w:r>
        <w:t>Stage 2 complete: PATH | show groups prepared: N</w:t>
      </w:r>
    </w:p>
    <w:p>
      <w:pPr>
        <w:pStyle w:val="Normal"/>
        <w:rPr/>
      </w:pPr>
      <w:r>
        <w:t>Stage 3 starting: PATH</w:t>
      </w:r>
    </w:p>
    <w:p>
      <w:pPr>
        <w:pStyle w:val="Normal"/>
        <w:rPr/>
      </w:pPr>
      <w:r>
        <w:t>Stage 3 complete: PATH | show groups processed: N</w:t>
      </w:r>
    </w:p>
    <w:p>
      <w:pPr>
        <w:pStyle w:val="Normal"/>
        <w:rPr/>
      </w:pPr>
      <w:r>
        <w:t>Search path complete: PATH | directories identified: N | show groups processed: M</w:t>
      </w:r>
    </w:p>
    <w:p>
      <w:pPr>
        <w:pStyle w:val="Heading2"/>
        <w:rPr/>
      </w:pPr>
      <w:r>
        <w:t>2.9 Cross-Platform Execution</w:t>
      </w:r>
    </w:p>
    <w:p>
      <w:pPr>
        <w:pStyle w:val="ListBullet"/>
        <w:numPr>
          <w:ilvl w:val="0"/>
          <w:numId w:val="1"/>
        </w:numPr>
        <w:rPr/>
      </w:pPr>
      <w:r>
        <w:t>The program must run on Linux, Windows, WSL, and macOS.</w:t>
      </w:r>
    </w:p>
    <w:p>
      <w:pPr>
        <w:pStyle w:val="ListBullet"/>
        <w:numPr>
          <w:ilvl w:val="0"/>
          <w:numId w:val="1"/>
        </w:numPr>
        <w:rPr/>
      </w:pPr>
      <w:r>
        <w:t>Frozen Windows executables must support multiprocessing startup without argparse rejecting bootstrap arguments and without leaving active worker processes running after GUI cancellation.</w:t>
      </w:r>
    </w:p>
    <w:p>
      <w:pPr>
        <w:pStyle w:val="ListBullet"/>
        <w:numPr>
          <w:ilvl w:val="0"/>
          <w:numId w:val="1"/>
        </w:numPr>
        <w:rPr/>
      </w:pPr>
      <w:r>
        <w:t>Both tlo-gi.py and tlo-main.py must call multiprocessing.freeze_support() before command-line parsing, Tkinter initialization, inventory startup, or process-pool creation.</w:t>
      </w:r>
    </w:p>
    <w:p>
      <w:pPr>
        <w:pStyle w:val="ListBullet"/>
        <w:numPr>
          <w:ilvl w:val="0"/>
          <w:numId w:val="1"/>
        </w:numPr>
        <w:rPr/>
      </w:pPr>
      <w:r>
        <w:t>Frozen Windows child-worker bootstrap arguments must be consumed by multiprocessing startup and must not be parsed as normal TLO command-line arguments.</w:t>
      </w:r>
    </w:p>
    <w:p>
      <w:pPr>
        <w:pStyle w:val="ListBullet"/>
        <w:numPr>
          <w:ilvl w:val="0"/>
          <w:numId w:val="1"/>
        </w:numPr>
        <w:rPr/>
      </w:pPr>
      <w:r>
        <w:t>A frozen tlo-main.exe must not open duplicate GUI windows in multiprocessing child workers.</w:t>
      </w:r>
    </w:p>
    <w:p>
      <w:pPr>
        <w:pStyle w:val="ListBullet"/>
        <w:numPr>
          <w:ilvl w:val="0"/>
          <w:numId w:val="1"/>
        </w:numPr>
        <w:rPr/>
      </w:pPr>
      <w:r>
        <w:t>The same code path must remain harmless under normal Python execution on Linux, WSL, macOS, and non-frozen Windows.</w:t>
      </w:r>
    </w:p>
    <w:p>
      <w:pPr>
        <w:pStyle w:val="ListBullet"/>
        <w:numPr>
          <w:ilvl w:val="0"/>
          <w:numId w:val="1"/>
        </w:numPr>
        <w:rPr/>
      </w:pPr>
      <w:r>
        <w:t>If a path-worker process pool becomes unusable because of startup or infrastructure failure, report the pool failure and retry the affected inventory paths serially rather than ending the run with only a generic process-pool error.</w:t>
      </w:r>
    </w:p>
    <w:p>
      <w:pPr>
        <w:pStyle w:val="ListBullet"/>
        <w:numPr>
          <w:ilvl w:val="0"/>
          <w:numId w:val="1"/>
        </w:numPr>
        <w:rPr/>
      </w:pPr>
      <w:r>
        <w:t>The runtime must keep track of the active ProcessPoolExecutor so GUI Quit and Ctrl-C can terminate path-worker processes before active log cleanup.</w:t>
      </w:r>
    </w:p>
    <w:p>
      <w:pPr>
        <w:pStyle w:val="ListBullet"/>
        <w:numPr>
          <w:ilvl w:val="0"/>
          <w:numId w:val="1"/>
        </w:numPr>
        <w:rPr/>
      </w:pPr>
      <w:r>
        <w:t>When the GUI Quit button or the window close control is used while an inventory scan is still active, immediately display an alert that inventory is stopping and it will take a moment to clean up before exiting. The alert must appear before active workers are terminated and active logs are cleaned up.</w:t>
      </w:r>
    </w:p>
    <w:p>
      <w:pPr>
        <w:pStyle w:val="ListBullet"/>
        <w:numPr>
          <w:ilvl w:val="0"/>
          <w:numId w:val="1"/>
        </w:numPr>
        <w:rPr/>
      </w:pPr>
      <w:r>
        <w:t>The cleanup path must work on Windows frozen executables and normal Linux/WSL/macOS execution without leaving worker processes running after the parent GUI exits.</w:t>
      </w:r>
    </w:p>
    <w:p>
      <w:pPr>
        <w:pStyle w:val="Heading2"/>
        <w:rPr/>
      </w:pPr>
      <w:r>
        <w:t>2.10 Performance and Load Controls</w:t>
      </w:r>
    </w:p>
    <w:p>
      <w:pPr>
        <w:pStyle w:val="ListBullet"/>
        <w:numPr>
          <w:ilvl w:val="0"/>
          <w:numId w:val="1"/>
        </w:numPr>
        <w:rPr/>
      </w:pPr>
      <w:r>
        <w:t>The inventory must support CPU and filesystem load controls so large scans do not make Windows File Explorer or the host operating system unusable.</w:t>
      </w:r>
    </w:p>
    <w:p>
      <w:pPr>
        <w:pStyle w:val="ListBullet"/>
        <w:numPr>
          <w:ilvl w:val="0"/>
          <w:numId w:val="1"/>
        </w:numPr>
        <w:rPr/>
      </w:pPr>
      <w:r>
        <w:t>Add --performance-mode with values gentle, balanced, fast, and extreme.</w:t>
      </w:r>
    </w:p>
    <w:p>
      <w:pPr>
        <w:pStyle w:val="ListBullet"/>
        <w:numPr>
          <w:ilvl w:val="0"/>
          <w:numId w:val="1"/>
        </w:numPr>
        <w:rPr/>
      </w:pPr>
      <w:r>
        <w:t>Add --max-workers N. On the CLI, 0 continues to mean use the selected Performance Mode default. In the GUI, Max Workers is a worker ceiling, not a requested or forced worker count. Unless a positive launcher --max-workers value is supplied, the displayed automatic ceiling must match the selected mode: gentle = 1; balanced = min(2, platform CPU count); fast = platform CPU count; extreme = min(4 × platform CPU count, 64), with a minimum of 1 in every case. Selecting a different Performance Mode must reset Max Workers to that mode’s automatic ceiling. The user may then edit Max Workers to another positive ceiling. Each phase remains free to use fewer workers when its Performance Mode, physical-drive serialization, work-group count, correctness constraints, or phase-specific safety limit requires fewer.</w:t>
      </w:r>
    </w:p>
    <w:p>
      <w:pPr>
        <w:pStyle w:val="ListBullet"/>
        <w:numPr>
          <w:ilvl w:val="0"/>
          <w:numId w:val="1"/>
        </w:numPr>
        <w:rPr/>
      </w:pPr>
      <w:r>
        <w:t>Gentle mode uses one search-path worker by default and applies filesystem traversal throttling. On Windows, the long-lived inventory process uses idle priority when supported. On POSIX platforms, the long-lived GUI/CLI parent remains at normal priority; gentle niceness is applied only inside worker processes so a later mode cannot leave the GUI permanently deprioritized.</w:t>
      </w:r>
    </w:p>
    <w:p>
      <w:pPr>
        <w:pStyle w:val="ListBullet"/>
        <w:numPr>
          <w:ilvl w:val="0"/>
          <w:numId w:val="1"/>
        </w:numPr>
        <w:rPr/>
      </w:pPr>
      <w:r>
        <w:t>Balanced mode uses limited parallelism, no more than two workers by default and no more than the platform CPU count, and applies light traversal throttling. On Windows, the long-lived inventory process uses below-normal priority when supported. On POSIX platforms, only worker processes are niced; the long-lived GUI/CLI parent remains at normal priority.</w:t>
      </w:r>
    </w:p>
    <w:p>
      <w:pPr>
        <w:pStyle w:val="ListBullet"/>
        <w:numPr>
          <w:ilvl w:val="0"/>
          <w:numId w:val="1"/>
        </w:numPr>
        <w:rPr/>
      </w:pPr>
      <w:r>
        <w:t>Fast mode uses maximum-throughput behavior: available workers up to the platform CPU count and, at runtime, up to the number of parallelizable volume work groups; it uses normal process priority and no traversal throttling. On Windows, selecting Fast after Gentle or Balanced must explicitly restore the process priority class captured at application startup (normally Normal).</w:t>
      </w:r>
    </w:p>
    <w:p>
      <w:pPr>
        <w:pStyle w:val="ListBullet"/>
        <w:numPr>
          <w:ilvl w:val="0"/>
          <w:numId w:val="1"/>
        </w:numPr>
        <w:rPr/>
      </w:pPr>
      <w:r>
        <w:t>Extreme mode is the opt-in speed-first mode. It uses normal priority, no traversal throttling, and unsorted Phase 1 traversal. Extreme may request one search-path worker per otherwise-parallelizable work group, but the runtime count is still bounded by the positive Max Workers ceiling and all physical-drive/correctness constraints. Postprocess remains separately bounded and honors the same positive Max Workers ceiling. On Windows, selecting Extreme after a lower-priority mode must restore the startup process priority class.</w:t>
      </w:r>
    </w:p>
    <w:p>
      <w:pPr>
        <w:pStyle w:val="ListBullet"/>
        <w:numPr>
          <w:ilvl w:val="0"/>
          <w:numId w:val="1"/>
        </w:numPr>
        <w:rPr/>
      </w:pPr>
      <w:r>
        <w:t>The effective runtime worker count is the minimum of the selected Performance Mode demand, the number of parallelizable work groups after physical-drive serialization, the phase-specific safety/correctness limit, and the positive Max Workers ceiling. A phase may therefore use substantially fewer workers than the Max Workers value. CLI --max-workers 0 or omission selects the normal mode/platform default behavior; the GUI displays a positive ceiling rather than an auto sentinel.</w:t>
      </w:r>
    </w:p>
    <w:p>
      <w:pPr>
        <w:pStyle w:val="ListBullet"/>
        <w:numPr>
          <w:ilvl w:val="0"/>
          <w:numId w:val="1"/>
        </w:numPr>
        <w:rPr/>
      </w:pPr>
      <w:r>
        <w:t>The GUI and CLI must default to balanced Performance Mode unless another mode is supplied.</w:t>
      </w:r>
    </w:p>
    <w:p>
      <w:pPr>
        <w:pStyle w:val="ListBullet"/>
        <w:numPr>
          <w:ilvl w:val="0"/>
          <w:numId w:val="1"/>
        </w:numPr>
        <w:rPr/>
      </w:pPr>
      <w:r>
        <w:t>The CLI must default to balanced mode.</w:t>
      </w:r>
    </w:p>
    <w:p>
      <w:pPr>
        <w:pStyle w:val="ListBullet"/>
        <w:numPr>
          <w:ilvl w:val="0"/>
          <w:numId w:val="1"/>
        </w:numPr>
        <w:rPr/>
      </w:pPr>
      <w:r>
        <w:t>The GUI must expose Performance Mode and Max Workers controls.</w:t>
      </w:r>
    </w:p>
    <w:p>
      <w:pPr>
        <w:pStyle w:val="ListBullet"/>
        <w:numPr>
          <w:ilvl w:val="0"/>
          <w:numId w:val="1"/>
        </w:numPr>
        <w:rPr/>
      </w:pPr>
      <w:r>
        <w:t>The GUI must provide Pause and Resume controls. Pause must cause traversal to yield between directory operations; workers complete their current directory operation before suspending, and no new directories are dispatched while paused. Resume must continue the run without restarting it. Pause applies to active traversal/inventory work and does not delete logs or cancel already completed postprocess output.</w:t>
      </w:r>
    </w:p>
    <w:p>
      <w:pPr>
        <w:pStyle w:val="ListBullet"/>
        <w:numPr>
          <w:ilvl w:val="0"/>
          <w:numId w:val="1"/>
        </w:numPr>
        <w:rPr/>
      </w:pPr>
      <w:r>
        <w:t>On Windows frozen executables, the GUI process and worker processes should run at idle priority in gentle mode and below-normal priority in balanced mode when supported. The runtime must remember the original process priority class before lowering it and must restore that class explicitly for Fast and Extreme, including Gentle -&gt; Fast and Balanced -&gt; Extreme transitions in one GUI session.</w:t>
      </w:r>
    </w:p>
    <w:p>
      <w:pPr>
        <w:pStyle w:val="ListBullet"/>
        <w:numPr>
          <w:ilvl w:val="0"/>
          <w:numId w:val="1"/>
        </w:numPr>
        <w:rPr/>
      </w:pPr>
      <w:r>
        <w:t>On Linux, WSL, and macOS, the long-lived GUI/CLI parent process must not be permanently niced. Gentle and balanced priority reduction should be applied only inside spawned inventory worker processes where supported. If a run executes serially in the parent, worker-count limits and traversal throttling still apply while the parent remains at normal niceness.</w:t>
      </w:r>
    </w:p>
    <w:p>
      <w:pPr>
        <w:pStyle w:val="ListBullet"/>
        <w:numPr>
          <w:ilvl w:val="0"/>
          <w:numId w:val="1"/>
        </w:numPr>
        <w:rPr/>
      </w:pPr>
      <w:r>
        <w:t>If OS-level priority changes are unavailable, the program must continue without error and rely on worker limits and traversal throttling. Failure to lower or restore priority is best-effort and must not prevent inventory.</w:t>
      </w:r>
    </w:p>
    <w:p>
      <w:pPr>
        <w:pStyle w:val="ListBullet"/>
        <w:numPr>
          <w:ilvl w:val="0"/>
          <w:numId w:val="1"/>
        </w:numPr>
        <w:rPr/>
      </w:pPr>
      <w:r>
        <w:t>Filesystem-heavy walkers must periodically yield during directory traversal in gentle and balanced modes.</w:t>
      </w:r>
    </w:p>
    <w:p>
      <w:pPr>
        <w:pStyle w:val="ListBullet"/>
        <w:numPr>
          <w:ilvl w:val="0"/>
          <w:numId w:val="1"/>
        </w:numPr>
        <w:rPr/>
      </w:pPr>
      <w:r>
        <w:t>Phase 2/3 should build music groups from the Phase 1 complete-path log instead of performing a second full discovery walk over the same search tree. Phase 2/3 must read representative media-file paths from the complete-path log, derive the music directory and media type from those paths, and rescan the known music directory or allowed parent only when a later step needs setlist candidates, media counts, exact filenames, filename-date evidence, or tag samples.</w:t>
      </w:r>
    </w:p>
    <w:p>
      <w:pPr>
        <w:pStyle w:val="Normal"/>
        <w:rPr/>
      </w:pPr>
      <w:r/>
    </w:p>
    <w:p>
      <w:pPr>
        <w:pStyle w:val="Heading2"/>
        <w:rPr/>
      </w:pPr>
      <w:r>
        <w:t>2.11 Copy Destination Capacity Checks</w:t>
      </w:r>
    </w:p>
    <w:p>
      <w:pPr>
        <w:pStyle w:val="ListBullet"/>
        <w:numPr>
          <w:ilvl w:val="0"/>
          <w:numId w:val="1"/>
        </w:numPr>
        <w:rPr/>
      </w:pPr>
      <w:r>
        <w:t>Before Phase 1 begins, TLO must preflight destinations for operations that will create a real copy. This includes --/copy directives on direct Search Path entries or inside .txt control files, separate command-line --/copy directives applied to direct Search Path entries, Tag Copy destinations, and any --/copy-delete or Tag Copy/Delete Original destination that is on a different filesystem from its source. Same-filesystem Copy/Delete Original transfers are directory moves and must be excluded from source-size totaling and destination-capacity comparison.</w:t>
      </w:r>
    </w:p>
    <w:p>
      <w:pPr>
        <w:pStyle w:val="ListBullet"/>
        <w:numPr>
          <w:ilvl w:val="0"/>
          <w:numId w:val="1"/>
        </w:numPr>
        <w:rPr/>
      </w:pPr>
      <w:r>
        <w:t>Before totaling source folder sizes for this preflight, TLO must print a console note that it is checking source folder sizes before validating destination capacity. The note is informational and must appear before the potentially slow folder-size walk starts.</w:t>
      </w:r>
    </w:p>
    <w:p>
      <w:pPr>
        <w:pStyle w:val="ListBullet"/>
        <w:numPr>
          <w:ilvl w:val="0"/>
          <w:numId w:val="1"/>
        </w:numPr>
        <w:rPr/>
      </w:pPr>
      <w:r>
        <w:t>When Inventory is started with Tag Copy or Tag Copy/Delete Original selected, TLO must open the selected mode's destination dialog. Both dialogs require an existing fully qualified path and may display readable free-space information. Tag Copy states that the original is retained and always performs exact source-size capacity preflight because it always creates another tree. Tag Copy/Delete Original additionally warns that original material will be removed after transfer; its exact source-size capacity preflight applies only to source roots on a different filesystem from the destination. The selected destination is a global override for per-path --/copy and --/copy-delete destinations. Preflight must sum only roots expanded from the required Search Path that will actually be copied. A Dry Run still requests the destination so planned move/copy behavior and any applicable capacity requirement can be reviewed, but it must not transfer, Trash, or delete any content regardless of the corruption setting.</w:t>
      </w:r>
    </w:p>
    <w:p>
      <w:pPr>
        <w:pStyle w:val="ListBullet"/>
        <w:numPr>
          <w:ilvl w:val="0"/>
          <w:numId w:val="1"/>
        </w:numPr>
        <w:rPr/>
      </w:pPr>
      <w:r>
        <w:t>The preflight must group sources by effective destination, calculate the size of each top-level source tree, compare the total required destination space to current free space, and stop startup if a destination does not have enough space. The alert/error must identify the destination, the source path or paths feeding it, required space, available space, and additional space needed.</w:t>
      </w:r>
    </w:p>
    <w:p>
      <w:pPr/>
      <w:r>
        <w:t>REQ-XFER-003  Inventory-time Tag Copy/Delete Original must never populate a normal final-name directory with unverified or incomplete content. For cross-filesystem transfers, allocate an exclusively owned .tlo-partial-* staging directory, copy the entire source tree there, reject symbolic links, verify recursive relative file/directory structure and sizes, then SHA-256-verify every corresponding file. Only after all checks succeed may TLO atomically publish the directory under a collision-safe, non-overwriting final name, and only after publication may source deletion begin. Ordinary copy/verification/publication failure must leave the original intact, delete only the current operation's staging directory, and publish no incomplete normal-name folder. On source-cleanup failure preserve the published verified destination and report the potentially partial source for recovery. For same-filesystem transfers, do not copy or hash files: atomically rename the entire source directory into a unique, Phase-1-pruned .tlo-partial-* sibling under the destination parent, then atomically publish it with no-overwrite semantics. On ordinary publication failure attempt atomic no-overwrite rollback to the original source pathname; on rollback failure preserve the complete staged tree and report its exact recovery path. Worker death/power loss may leave a complete same-filesystem staged tree or a partial cross-filesystem staged copy. Both remain visibly marked and excluded from inventory, and neither may be mistaken for a published show. Tag Copy and Copy/Delete share the copying, verification, staging, and publication helpers while retaining their distinct verification strengths and source-retention rules.</w:t>
      </w:r>
    </w:p>
    <w:p>
      <w:pPr/>
      <w:r>
        <w:t>REQ-XFER-002  Ordinary inventory-time Tag Copy, including GUI Tag and --/copy, must copy the complete identified source folder into an exclusively created sibling .tlo-partial-* directory, which Phase 1 must exclude from inventory. Validate that the staged tree has no symlinks and verify the entire recursive relative directory structure, file names, and file sizes while the source remains intact. Only after success may TLO atomically publish the staged directory under an available final show name using a no-overwrite rename. A concurrently appearing destination must be preserved and a collision-safe alternate name attempted. Copy, verification, or publication failure must leave no incomplete normal-name directory; ordinary exceptions must clean up only the current operation's owned staging tree. Worker termination or power loss may leave an excluded .tlo-partial-* staging directory for later recovery/cleanup. Do not delete the source and do not weaken cross-filesystem Copy/Delete Original SHA-256 safeguards; dedicated Copy/Delete staging is scheduled separately.</w:t>
      </w:r>
    </w:p>
    <w:p>
      <w:pPr/>
      <w:r>
        <w:t>REQ-XFER-001  Transfer destinations must be claimed without overwriting an existing directory. If a destination name races with another creator, TLO must allocate another unique destination rather than replace the existing entry. Cross-filesystem Copy/Delete Original requires matching recursive relative directory/file structure and file sizes followed by SHA-256 verification of every corresponding file before source deletion. Ordinary Tag Copy retains the source and verifies recursive relative folder/file structure and file sizes without byte-content hashing by policy. If a verified Copy/Delete destination has been completed but later source cleanup fails, TLO must keep the verified destination, stop the operation, and report both the possibly partially removed source path and the verified destination for recovery.</w:t>
      </w:r>
    </w:p>
    <w:p>
      <w:pPr>
        <w:pStyle w:val="ListBullet"/>
        <w:numPr>
          <w:ilvl w:val="0"/>
          <w:numId w:val="1"/>
        </w:numPr>
        <w:rPr/>
      </w:pPr>
      <w:r>
        <w:t>Before any Tag Copy or Copy/Delete Original transfer, TLO must complete show grouping and metadata extraction from the original source tree. The source evidence includes the original folder and path components, selected setlist content, music filenames, and existing audio tags. Only after the show metadata record has been resolved may TLO copy or move the identified show folder and rewrite the active working paths to the destination. Tagging and final inventory output then use the destination path; metadata already resolved from the original source is retained. Ordinary Tag Copy always creates a real copy, even when source and destination are on the same filesystem. Before changes begin, TLO must total the full source size and compare it with destination free space. After copying, TLO must compare the source and destination relative-file maps and every corresponding file size before tagging continues; the original is retained. For Copy/Delete Original, TLO must determine filesystem identity before walking the source for sizes. If source and destination are on the same filesystem, TLO must perform a directory rename/move and must not total source file sizes, perform a source-size capacity comparison, or compare file sizes after the move. If they are on different filesystems, TLO must total the source, verify destination capacity, copy the tree, compare relative paths and file sizes, and delete the original only after verification succeeds. A destination must not be the source folder or a child of it.</w:t>
      </w:r>
    </w:p>
    <w:p>
      <w:pPr>
        <w:pStyle w:val="ListBullet"/>
      </w:pPr>
      <w:r>
        <w:t>A Tag Copy or Copy/Delete Original transfer applies to the complete identified source folder tree rooted at MAIN_DIR_PATH, not only to inventoried music files or selected setlists. The transfer must include every file and every descendant directory beneath that folder, including non-music files and empty directories. A same-filesystem Copy/Delete Original directory rename/move naturally transfers the complete tree. A real copy must recursively copy the complete tree, and post-copy verification must compare all relative file paths, descendant directory structure, and file sizes. Cross-filesystem Copy/Delete Original must additionally compare SHA-256 contents of every corresponding file before deleting the source; ordinary Tag Copy does not require content hashing (REQ-XFER-001).</w:t>
      </w:r>
    </w:p>
    <w:p>
      <w:pPr>
        <w:pStyle w:val="ListBullet"/>
      </w:pPr>
      <w:r>
        <w:t>Copy-versus-alternate naming is determined by exact recursive tree identity, not by a name collision alone. Before TLO appends (copyN) to a Show qualifier or to a compliant destination/renamed folder, it must compare the incoming/source MAIN_DIR_PATH tree against existing same-base sibling or destination-family trees. A tree qualifies as a copy only when the relative descendant directory set (including empty directories), relative file set, file sizes, and byte contents of every corresponding file are all identical. After structure/path/size checks pass, byte identity shall be verified with SHA-256 or an equivalently collision-resistant full-file digest. File timestamps and other filesystem metadata do not affect copy identity. If no exact same-base tree exists, or any candidate cannot be completely read and verified, TLO must classify the collision as an alternate and use (altN), never (copyN). An input folder already ending in (copyN) must be revalidated by the same rule before that copy qualifier is propagated into SHOW_NAME; when the required exact sibling match is absent, the visible Show qualifier shall be (altN). This copy/alt rule applies to Show and folder collision naming; generated setlist filename collision handling remains a separate postprocess rule.</w:t>
      </w:r>
    </w:p>
    <w:p>
      <w:pPr>
        <w:pStyle w:val="Heading2"/>
        <w:rPr/>
      </w:pPr>
      <w:r>
        <w:t>2.12 Distribution Build and Packaging</w:t>
      </w:r>
    </w:p>
    <w:p>
      <w:pPr>
        <w:pStyle w:val="ListBullet"/>
        <w:numPr>
          <w:ilvl w:val="0"/>
          <w:numId w:val="1"/>
        </w:numPr>
        <w:rPr/>
      </w:pPr>
      <w:r>
        <w:t>Every numbered source update must produce platform-specific end-user release assets in addition to the source bundle and separately delivered current requirements DOCX.</w:t>
      </w:r>
    </w:p>
    <w:p>
      <w:pPr>
        <w:pStyle w:val="ListBullet"/>
        <w:numPr>
          <w:ilvl w:val="0"/>
          <w:numId w:val="1"/>
        </w:numPr>
        <w:rPr/>
      </w:pPr>
      <w:r>
        <w:t>Release asset names must use the supplied public version number and numeric build number. The GitHub build process accepts -vnumber VERSION and -bnumber BUILD; it tracks the local release folder by build number while using the supplied version in tags, release titles, asset names, manifests, and notes.</w:t>
      </w:r>
    </w:p>
    <w:p>
      <w:pPr>
        <w:pStyle w:val="ListBullet"/>
        <w:numPr>
          <w:ilvl w:val="0"/>
          <w:numId w:val="1"/>
        </w:numPr>
        <w:rPr/>
      </w:pPr>
      <w:r>
        <w:t>Release packaging supports three package selections. The default produces eight ZIP assets: complete and update packages for Windows hybrid, Windows shared-onedir, macOS, and generic Linux. Complete-only produces the four complete ZIPs; update-only produces the four update ZIPs. Asset names use the public version supplied by tlo_version.PUBLIC_VERSION/runtime -vnumber and follow TLO_V&lt;VERSION&gt;Build&lt;BUILD&gt;_complete_Windows.zip, TLO_V&lt;VERSION&gt;Build&lt;BUILD&gt;_complete_Windows_onedir.zip, TLO_V&lt;VERSION&gt;Build&lt;BUILD&gt;_complete_Linux.zip, TLO_V&lt;VERSION&gt;Build&lt;BUILD&gt;_complete_macOS.zip, plus the corresponding update names. Distribution-root defaults in the native helper scripts must derive the same PUBLIC_VERSION rather than hard-coding an older release line.</w:t>
      </w:r>
    </w:p>
    <w:p>
      <w:r>
        <w:t>Official release package layout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Asset/layout</w:t>
            </w:r>
          </w:p>
        </w:tc>
        <w:tc>
          <w:tcPr>
            <w:tcW w:type="dxa" w:w="2160"/>
          </w:tcPr>
          <w:p>
            <w:r>
              <w:t>apps/ directory</w:t>
            </w:r>
          </w:p>
        </w:tc>
        <w:tc>
          <w:tcPr>
            <w:tcW w:type="dxa" w:w="2160"/>
          </w:tcPr>
          <w:p>
            <w:r>
              <w:t>PyInstaller/application layout</w:t>
            </w:r>
          </w:p>
        </w:tc>
        <w:tc>
          <w:tcPr>
            <w:tcW w:type="dxa" w:w="2160"/>
          </w:tcPr>
          <w:p>
            <w:r>
              <w:t>Required launchables/bundles</w:t>
            </w:r>
          </w:p>
        </w:tc>
      </w:tr>
      <w:tr>
        <w:tc>
          <w:tcPr>
            <w:tcW w:type="dxa" w:w="2160"/>
          </w:tcPr>
          <w:p>
            <w:r>
              <w:t>Windows hybrid</w:t>
            </w:r>
          </w:p>
        </w:tc>
        <w:tc>
          <w:tcPr>
            <w:tcW w:type="dxa" w:w="2160"/>
          </w:tcPr>
          <w:p>
            <w:r>
              <w:t>apps/Windows</w:t>
            </w:r>
          </w:p>
        </w:tc>
        <w:tc>
          <w:tcPr>
            <w:tcW w:type="dxa" w:w="2160"/>
          </w:tcPr>
          <w:p>
            <w:r>
              <w:t>Seven PyInstaller onefile executables. tlo-deleteDupes is not a custom EXE; tlo-deleteDupes.cmd launches the adjacent private embedded-CPython tlo-deleteDupes_runtime.</w:t>
            </w:r>
          </w:p>
        </w:tc>
        <w:tc>
          <w:tcPr>
            <w:tcW w:type="dxa" w:w="2160"/>
          </w:tcPr>
          <w:p>
            <w:r>
              <w:t>tlo-main.exe, tlo-search.exe, tlo-gi.exe, tlo-research.exe, tlo-reverse.exe, tlo-tag.exe, search-artist-db.exe, tlo-deleteDupes.cmd + tlo-deleteDupes_runtime</w:t>
            </w:r>
          </w:p>
        </w:tc>
      </w:tr>
      <w:tr>
        <w:tc>
          <w:tcPr>
            <w:tcW w:type="dxa" w:w="2160"/>
          </w:tcPr>
          <w:p>
            <w:r>
              <w:t>Windows shared-onedir</w:t>
            </w:r>
          </w:p>
        </w:tc>
        <w:tc>
          <w:tcPr>
            <w:tcW w:type="dxa" w:w="2160"/>
          </w:tcPr>
          <w:p>
            <w:r>
              <w:t>apps/Windows</w:t>
            </w:r>
          </w:p>
        </w:tc>
        <w:tc>
          <w:tcPr>
            <w:tcW w:type="dxa" w:w="2160"/>
          </w:tcPr>
          <w:p>
            <w:r>
              <w:t>The same seven PyInstaller executables are directly under apps/Windows and share one apps/Windows/_internal directory. tlo-deleteDupes uses the same .cmd/private-runtime design as hybrid.</w:t>
            </w:r>
          </w:p>
        </w:tc>
        <w:tc>
          <w:tcPr>
            <w:tcW w:type="dxa" w:w="2160"/>
          </w:tcPr>
          <w:p>
            <w:r>
              <w:t>Same seven .exe files, shared _internal, tlo-deleteDupes.cmd + tlo-deleteDupes_runtime</w:t>
            </w:r>
          </w:p>
        </w:tc>
      </w:tr>
      <w:tr>
        <w:tc>
          <w:tcPr>
            <w:tcW w:type="dxa" w:w="2160"/>
          </w:tcPr>
          <w:p>
            <w:r>
              <w:t>macOS</w:t>
            </w:r>
          </w:p>
        </w:tc>
        <w:tc>
          <w:tcPr>
            <w:tcW w:type="dxa" w:w="2160"/>
          </w:tcPr>
          <w:p>
            <w:r>
              <w:t>apps/macOS</w:t>
            </w:r>
          </w:p>
        </w:tc>
        <w:tc>
          <w:tcPr>
            <w:tcW w:type="dxa" w:w="2160"/>
          </w:tcPr>
          <w:p>
            <w:r>
              <w:t>Native macOS executables. GUI builds also provide .app bundles; the current onefile/.app implementation is constrained to PyInstaller &lt; 7.</w:t>
            </w:r>
          </w:p>
        </w:tc>
        <w:tc>
          <w:tcPr>
            <w:tcW w:type="dxa" w:w="2160"/>
          </w:tcPr>
          <w:p>
            <w:r>
              <w:t>tlo-main and tlo-main.app; tlo-search and tlo-search.app; search-artist-db and search-artist-db.app; tlo-gi, tlo-research, tlo-reverse, tlo-tag, tlo-deleteDupes</w:t>
            </w:r>
          </w:p>
        </w:tc>
      </w:tr>
      <w:tr>
        <w:tc>
          <w:tcPr>
            <w:tcW w:type="dxa" w:w="2160"/>
          </w:tcPr>
          <w:p>
            <w:r>
              <w:t>Generic Linux / WSL</w:t>
            </w:r>
          </w:p>
        </w:tc>
        <w:tc>
          <w:tcPr>
            <w:tcW w:type="dxa" w:w="2160"/>
          </w:tcPr>
          <w:p>
            <w:r>
              <w:t>apps/Linux</w:t>
            </w:r>
          </w:p>
        </w:tc>
        <w:tc>
          <w:tcPr>
            <w:tcW w:type="dxa" w:w="2160"/>
          </w:tcPr>
          <w:p>
            <w:r>
              <w:t>Native Linux onefile executables; WSL uses this same payload.</w:t>
            </w:r>
          </w:p>
        </w:tc>
        <w:tc>
          <w:tcPr>
            <w:tcW w:type="dxa" w:w="2160"/>
          </w:tcPr>
          <w:p>
            <w:r>
              <w:t>tlo-main, tlo-search, search-artist-db, tlo-gi, tlo-research, tlo-reverse, tlo-tag, tlo-deleteDupes</w:t>
            </w:r>
          </w:p>
        </w:tc>
      </w:tr>
    </w:tbl>
    <w:p>
      <w:r>
        <w:t>Canonical application icon assets are icons/tlo-main-icon.*, icons/tlo-search-icon.*, and icons/tlo-tag-icon.* in PNG/Windows ICO/macOS ICNS forms as applicable. Windows and macOS native build helpers must fail closed when required platform icon resources are missing; the Main application must not depend on legacy tlo-inventory-icon.* filenames.</w:t>
      </w:r>
    </w:p>
    <w:p>
      <w:pPr>
        <w:pStyle w:val="ListBullet"/>
        <w:numPr>
          <w:ilvl w:val="0"/>
          <w:numId w:val="1"/>
        </w:numPr>
        <w:rPr/>
      </w:pPr>
      <w:r>
        <w:t>Windows executables must be built on Windows, macOS executables on macOS, and generic Linux executables on a normal Linux system. The generic Linux build is also the WSL build. The release process must not treat PyInstaller as a cross-compiler for Windows or macOS. The current macOS GUI packaging uses PyInstaller onefile plus .app bundles and therefore requires PyInstaller &lt; 7 until TLO deliberately migrates those GUI apps to an onedir-style bundle. Native/local distribution helpers must reject a supplied bundle/build number that does not match tlo_version.BUNDLE_BUILD. The Windows local-distribution default output must be under a user-writable profile location rather than the root of C:\.</w:t>
      </w:r>
    </w:p>
    <w:p>
      <w:pPr>
        <w:pStyle w:val="ListBullet"/>
        <w:numPr>
          <w:ilvl w:val="0"/>
          <w:numId w:val="1"/>
        </w:numPr>
        <w:rPr/>
      </w:pPr>
      <w:r>
        <w:t>All platform executables/scripts must be completed before final release assembly. The assembler must reject missing platform folders, missing required applications, missing manifests, missing scan receipts, or missing checksums.</w:t>
      </w:r>
    </w:p>
    <w:p>
      <w:pPr>
        <w:pStyle w:val="ListBullet"/>
        <w:numPr>
          <w:ilvl w:val="0"/>
          <w:numId w:val="1"/>
        </w:numPr>
        <w:rPr/>
      </w:pPr>
      <w:r>
        <w:t>Each native platform build must run at least one configured malware scanner after executable creation. An official scan result must identify an approved scanner identity; an arbitrary command that merely exits successfully must not qualify as an official clean scanner. For a custom Norton receipt, TLO must parse the command as argv rather than shell text, resolve the executable that will actually run, require an approved Norton executable basename, and on Windows require the resolved executable to be under a standard Program Files tree with a valid Norton Authenticode signer. A nonzero scanner result, quarantine/removal, missing executable, unapproved scanner identity, failed executable-identity validation, or post-scan file change must fail the build.</w:t>
      </w:r>
    </w:p>
    <w:p>
      <w:pPr>
        <w:pStyle w:val="ListBullet"/>
      </w:pPr>
      <w:r>
        <w:t>Native PyInstaller packaging of tlo-gi, tlo-main, tlo-tag, and tlo-deleteDupes must include the checksum-pinned ffmpeg executable prepared by prepare_ffmpeg.py beneath tlo_ffmpeg_bin and must execute a frozen tlo-gi packaging smoke test before malware scanning or release assembly. The smoke test must run with a hostile IMAGEIO_FFMPEG_EXE value so an external override cannot satisfy the bundled-binary gate. Failure to import required dependencies, locate/run the packaged ffmpeg, or complete the smoke test must fail the native build. imageio-ffmpeg is not a runtime or packaging dependency.</w:t>
      </w:r>
    </w:p>
    <w:p>
      <w:pPr>
        <w:pStyle w:val="ListBullet"/>
        <w:numPr>
          <w:ilvl w:val="0"/>
          <w:numId w:val="1"/>
        </w:numPr>
        <w:rPr/>
      </w:pPr>
      <w:r>
        <w:t>Each platform scan must produce a clean JSON receipt containing the approved scanner identity, scanner result, platform, and SHA-256 hash and size for every packaged platform artifact. For a custom Norton scan the receipt must also bind the resolved scanner executable path and SHA-256; on Windows it must record Authenticode status and signer subject. Receipt artifact-root/path fields must be portable/relative and must not embed a workstation username-bearing absolute path. Final ZIP assembly must verify that the current files exactly match those receipts.</w:t>
      </w:r>
    </w:p>
    <w:p>
      <w:pPr>
        <w:pStyle w:val="ListBullet"/>
        <w:numPr>
          <w:ilvl w:val="0"/>
          <w:numId w:val="1"/>
        </w:numPr>
        <w:rPr/>
      </w:pPr>
      <w:r>
        <w:t>After receipt verification, the assembler must run a final aggregate malware scan of each staged complete or update package. A ZIP asset must not be created unless that scan reports clean.</w:t>
      </w:r>
    </w:p>
    <w:p>
      <w:pPr>
        <w:pStyle w:val="ListBullet"/>
        <w:numPr>
          <w:ilvl w:val="0"/>
          <w:numId w:val="1"/>
        </w:numPr>
        <w:rPr/>
      </w:pPr>
      <w:r>
        <w:t>The malware gate establishes only that the configured scanners reported the exact packaged artifacts clean at build time. The project must not claim that no antivirus product can ever report a later heuristic false positive. Windows code signing, macOS Developer ID signing/notarization, reproducible builds, and vendor false-positive submission should be used when available.</w:t>
      </w:r>
    </w:p>
    <w:p>
      <w:pPr>
        <w:pStyle w:val="ListBullet"/>
        <w:numPr>
          <w:ilvl w:val="0"/>
          <w:numId w:val="1"/>
        </w:numPr>
        <w:rPr/>
      </w:pPr>
      <w:r>
        <w:t>Release ZIP filenames are versioned, but ZIP contents must not be wrapped in a versioned top-level folder. Users extract a complete package directly into the chosen TLOHome, or manually copy an update package into an existing TLOHome.</w:t>
      </w:r>
    </w:p>
    <w:p>
      <w:pPr>
        <w:pStyle w:val="ListBullet"/>
        <w:numPr>
          <w:ilvl w:val="0"/>
          <w:numId w:val="1"/>
        </w:numPr>
        <w:rPr/>
      </w:pPr>
      <w:r>
        <w:t>Complete platform ZIPs must include required shared support folders, documentation, starter files, manifests, checksums, scan receipts, a blank header-only bootlist.csv containing exactly sep=^ followed by Show^VolumePath, and TLO_DBs/artists.sqlite plus TLO_DBs/venues.txt for a fresh install. Update ZIPs omit TLO_DBs by default, but the build process may explicitly include exactly TLO_DBs/artists.sqlite and TLO_DBs/venues.txt in update packages when a database refresh is requested.</w:t>
      </w:r>
    </w:p>
    <w:p>
      <w:pPr>
        <w:pStyle w:val="ListBullet"/>
      </w:pPr>
      <w:r>
        <w:t>Update ZIPs must contain the matching platform app payload, the current RTF User Manual and FAQ, matching native scan receipt, final aggregate package scan receipt, UPDATE_MANIFEST.json, README_UPDATE.txt, and checksums. They must never contain bootlist.csv, toBeInventoried.txt, setlists/, logs/, debug/, dups/, readyForXfer/, staged/, or other user-created state. Unless database inclusion is explicitly selected, they must not contain TLO_DBs/. When database inclusion is selected, only artists.sqlite and venues.txt are permitted under TLO_DBs/.</w:t>
      </w:r>
    </w:p>
    <w:p>
      <w:pPr>
        <w:pStyle w:val="ListBullet"/>
      </w:pPr>
      <w:r>
        <w:t>Every update ZIP must include UPDATE_MANIFEST.json with package kind update, exact platform/layout key, build number, safe_update true, requires_complete_install false, installed-path entries, databases_included, database_files, and protected paths documenting user-data areas intentionally absent from the package. Before accepting a downloaded update, TLO must require safe_update to be the Boolean value true and requires_complete_install to be the Boolean value false; require protected_paths to match the canonical protected user-data set, with TLO_DBs/ protected unless an explicit database refresh is declared; reject any ZIP member at or below a protected path using case-insensitive path comparison; reject ZIP member names that collide case-insensitively; and reject any ZIP path component that is a Windows reserved device name, including the superscript COM/LPT 1-3 forms, through the shared Windows reserved-name validator. The manifest/readme and actual ZIP contents must agree about database inclusion.</w:t>
      </w:r>
    </w:p>
    <w:p>
      <w:pPr>
        <w:pStyle w:val="ListBullet"/>
        <w:numPr>
          <w:ilvl w:val="0"/>
          <w:numId w:val="1"/>
        </w:numPr>
        <w:rPr/>
      </w:pPr>
      <w:r>
        <w:t>Complete platform ZIPs must include the current RTF user manual, an example/template toBeInventoried.txt, the blank header-only bootlist.csv starter file, manifest data, checksums, and clean scan receipts. The starter bootlist is for a new TLOHome only and must never be included in update ZIPs. The toBeInventoried template is not an automatic TLOHome input; users invoke that format only by explicitly supplying the template path (or another .txt control-file path) in Search Path. The requirements document remains in the source bundle and is provided separately; it is not included in end-user complete or update ZIPs.</w:t>
      </w:r>
    </w:p>
    <w:p>
      <w:pPr>
        <w:pStyle w:val="ListBullet"/>
      </w:pPr>
      <w:r>
        <w:t>The TLO application source bundle and the independently versioned GitHub Build Process are separate artifacts. The flat TLO source bundle shall contain no GitHub Build Process files, including Run-TLO-GitHub-Build.ps1, Create-TLOArtifactSigningMetadata.ps1, TLO_GitHub_Build_Process_Requirements_v&lt;PROCESS&gt;.docx, TLO_GitHub_Build_Process_v&lt;PROCESS&gt;.zip, or other process-only support/setup files. Application distribution helpers such as createWindowsDist.ps1, createLinuxDist.sh, createMacOSDist.sh, and scan_release_artifacts.py remain TLO source-bundle content. The GitHub Build Process shall be distributed only as its own independently versioned package and may supply/inject its own transient build-process helpers when it consumes a TLO source bundle.</w:t>
      </w:r>
    </w:p>
    <w:p>
      <w:pPr>
        <w:pStyle w:val="Heading1"/>
        <w:rPr/>
      </w:pPr>
      <w:r>
        <w:t>3. Phase 1 Tree Walk</w:t>
      </w:r>
    </w:p>
    <w:p>
      <w:pPr>
        <w:pStyle w:val="ListBullet"/>
        <w:numPr>
          <w:ilvl w:val="0"/>
          <w:numId w:val="1"/>
        </w:numPr>
        <w:rPr/>
      </w:pPr>
      <w:r>
        <w:t>If a directory name ends with -ignoreDir, do not record that directory and do not descend into it.</w:t>
      </w:r>
    </w:p>
    <w:p>
      <w:pPr/>
      <w:r>
        <w:t>Phase 1 and Phase 2/3 shall continue descending into child directories after a parent directory containing music has been recorded. A nested music folder can therefore be inventoried independently as an opening act. Existing wrapper/part aggregation remains authoritative for CD, Disc, Set, volume, and other recognized multi-part structures. A date-bearing show may nevertheless remain one logical show when all music is exactly one validated media-wrapper level deeper, such as Show/FLAC/Set 1 and Show/FLAC/Set 2; this guarded case does not authorize scanning sibling shows.</w:t>
      </w:r>
    </w:p>
    <w:p>
      <w:pPr>
        <w:pStyle w:val="ListBullet"/>
        <w:numPr>
          <w:ilvl w:val="0"/>
          <w:numId w:val="1"/>
        </w:numPr>
        <w:rPr/>
      </w:pPr>
      <w:r>
        <w:t>Skip Windows system directories including $RECYCLE.BIN and System Volume Information.</w:t>
      </w:r>
    </w:p>
    <w:p>
      <w:pPr>
        <w:pStyle w:val="ListBullet"/>
        <w:numPr>
          <w:ilvl w:val="0"/>
          <w:numId w:val="1"/>
        </w:numPr>
        <w:rPr/>
      </w:pPr>
      <w:r>
        <w:t>Directory pruning must prevent descent by modifying the traversal directory list in place when using os.walk.</w:t>
      </w:r>
    </w:p>
    <w:p>
      <w:pPr>
        <w:pStyle w:val="ListBullet"/>
        <w:numPr>
          <w:ilvl w:val="0"/>
          <w:numId w:val="1"/>
        </w:numPr>
        <w:rPr/>
      </w:pPr>
      <w:r>
        <w:t>Walk each directory only until a real music/video file has been identified. Once a real media file is found, Phase 1 must identify the directory as a media directory and must not continue collecting every media filename from that directory. (see Appendix E1)</w:t>
      </w:r>
    </w:p>
    <w:p>
      <w:pPr>
        <w:pStyle w:val="Normal"/>
        <w:rPr/>
      </w:pPr>
      <w:r/>
    </w:p>
    <w:p>
      <w:pPr>
        <w:pStyle w:val="ListBullet"/>
        <w:numPr>
          <w:ilvl w:val="0"/>
          <w:numId w:val="1"/>
        </w:numPr>
        <w:rPr/>
      </w:pPr>
      <w:r>
        <w:t>Once a music/video file is found, Phase 1 records one representative media-file path for that directory rather than every media filename, but traversal continues into child directories so independent nested shows/opening acts can still be discovered. Recognized wrapper/part and dated-show supplemental containment rules may later aggregate qualifying descendants back into one logical show. The directory path and media type are derived later from the representative sample path.</w:t>
      </w:r>
    </w:p>
    <w:p>
      <w:pPr>
        <w:pStyle w:val="Normal"/>
        <w:rPr/>
      </w:pPr>
      <w:r>
        <w:t>After Phase 1 finishes for a search path, compact the active compN.log complete-path log defensively so it contains no more than one representative media-file row per music directory. This compaction also applies to append-mode and reused logs so legacy entries that listed every media file do not remain. Later grouping and tagging stages must rescan the known music directory when they need counts or full file lists; compN.log is not a tag manifest.</w:t>
      </w:r>
    </w:p>
    <w:p>
      <w:pPr>
        <w:pStyle w:val="ListBullet"/>
        <w:numPr>
          <w:ilvl w:val="0"/>
          <w:numId w:val="1"/>
        </w:numPr>
        <w:rPr/>
      </w:pPr>
      <w:r>
        <w:t>Phase 1 must not carry .txt, .rtf, .doc, or .docx setlist candidate filenames forward in the complete-path log. Setlist candidate discovery happens later by scanning the known media directory, then the allowed immediate parent when the parent-safety rules permit it, then selected sibling information folders such as info, setlist, set list, data, notes, docs, or text inside a compact parent, and descendant locations only as the lowest-priority fallback.</w:t>
      </w:r>
    </w:p>
    <w:p>
      <w:pPr>
        <w:pStyle w:val="ListBullet"/>
        <w:numPr>
          <w:ilvl w:val="0"/>
          <w:numId w:val="1"/>
        </w:numPr>
        <w:rPr/>
      </w:pPr>
      <w:r>
        <w:t>Parent/sibling setlist discovery is allowed only under the combined compact/safe-parent rules. The immediate parent may be searched when the music directory is its only child, when all relevant child directories are recognized related wrapper/release parts, or when the parent is compact with twelve or fewer child directories. In those same safe-parent cases, sibling information folders such as info, setlist, set list, data, notes, docs, text, or similar may be searched. Direct music-folder candidates remain highest priority; unsafe broad parent/sibling scans are not permitted.</w:t>
      </w:r>
    </w:p>
    <w:p>
      <w:pPr>
        <w:pStyle w:val="ListBullet"/>
        <w:numPr>
          <w:ilvl w:val="0"/>
          <w:numId w:val="1"/>
        </w:numPr>
        <w:rPr/>
      </w:pPr>
      <w:r>
        <w:t>Targeted descendant setlist lookup must log candidate setlist files only. It must not log deeper media files as inventory candidates and must not create additional music groups from that descent.</w:t>
      </w:r>
    </w:p>
    <w:p>
      <w:pPr>
        <w:pStyle w:val="ListBullet"/>
        <w:numPr>
          <w:ilvl w:val="0"/>
          <w:numId w:val="1"/>
        </w:numPr>
        <w:rPr/>
      </w:pPr>
      <w:r>
        <w:t>If a usable setlist candidate is found in the music directory itself during later setlist selection, do not promote lower-priority descendant candidates ahead of it.</w:t>
      </w:r>
    </w:p>
    <w:p>
      <w:pPr>
        <w:pStyle w:val="ListBullet"/>
        <w:numPr>
          <w:ilvl w:val="0"/>
          <w:numId w:val="1"/>
        </w:numPr>
        <w:rPr/>
      </w:pPr>
      <w:r>
        <w:t>When music is found in a folder whose visible name is a common media-only or wrapper-style folder name, such as CD1, Disc 1, flac, music, tunes, audio, or similar names defined by the wrapper rules, the inventory may check the immediate parent folder for a setlist only when that parent is directly related to the child music folder. Direct relation means the parent has only that one child directory, or the parent child directories are all related wrapper/release parts for the same logical release. This eligibility check is performed during setlist candidate discovery and must also constrain later setlist ranking/selection so an ineligible broad-parent setlist is not promoted. Do not use a parent-folder setlist from a broad artist, collection, or storage directory merely because it contains the current music child among many unrelated children.</w:t>
      </w:r>
    </w:p>
    <w:p>
      <w:pPr>
        <w:pStyle w:val="ListBullet"/>
        <w:numPr>
          <w:ilvl w:val="0"/>
          <w:numId w:val="1"/>
        </w:numPr>
        <w:rPr/>
      </w:pPr>
      <w:r>
        <w:t>Before ranking or selecting a setlist source candidate, inspect a leading content sample when available. Source setlist candidates may be plain text .txt files and the supported rich-text/word-processing exceptions .rtf and .docx. Legacy binary .doc names may be recognized for diagnostics, but .doc content is not decoded as text and cannot satisfy the readable-text candidate checks. Reject candidates that are empty, unreadable, binary-like, full of NULL characters, lack readable alphabetic content, are checksum-only, or match housekeeping names. Valid UTF-16 text must be decoded before applying the NULL/binary rejection rules to .txt files. Rich-text/Word candidates must still pass the same naming, housekeeping, and readable-text rules used for setlist candidates. TLO must read no more than 1 MiB while sampling an ordinary text/RTF candidate. A full ordinary text read must be rejected when the file exceeds 16 MiB. Before reading a DOCX candidate, TLO must inspect word/document.xml and reject it when its declared uncompressed size exceeds 16 MiB; the oversized XML entry must not be decompressed.</w:t>
      </w:r>
    </w:p>
    <w:p>
      <w:pPr>
        <w:pStyle w:val="ListBullet"/>
        <w:numPr>
          <w:ilvl w:val="0"/>
          <w:numId w:val="1"/>
        </w:numPr>
        <w:rPr/>
      </w:pPr>
      <w:r>
        <w:t>A parent directory with multiple child directories is related only when every direct music-bearing child directory belongs to the same wrapper/common release relationship, such as CD1/CD2/CD3, Set 1/Set 2, Disk3, or wrapper-suffixed siblings that share the same stripped release base such as Big Release CD 1 and Big Release CD 2. If any direct music-bearing sibling is unrelated, the parent is a collection/search container and must not become the logical show root.</w:t>
      </w:r>
    </w:p>
    <w:p>
      <w:pPr>
        <w:pStyle w:val="ListBullet"/>
        <w:numPr>
          <w:ilvl w:val="0"/>
          <w:numId w:val="1"/>
        </w:numPr>
        <w:rPr/>
      </w:pPr>
      <w:r>
        <w:t>In non-compliant mode, if a music directory visible name is, or ends in, a wrapper-like release-part string such as CD 1, CD1, Disc 1, Disk3, Part 2, Set 1, or similar, check sibling music folders under the common parent for related release parts. Named suffix folders aggregate only when at least two related parts exist and all direct music-bearing children under the parent belong to that same release. Exact wrapper folders may use the parent only when no unrelated direct music-bearing child exists.</w:t>
      </w:r>
    </w:p>
    <w:p>
      <w:pPr>
        <w:pStyle w:val="ListBullet"/>
        <w:numPr>
          <w:ilvl w:val="0"/>
          <w:numId w:val="1"/>
        </w:numPr>
        <w:rPr/>
      </w:pPr>
      <w:r>
        <w:t>A guarded nested wrapper layout may cross exactly one additional non-numbered media-container folder. For example, Show/FLAC/Set 1 and Show/FLAC/Set 2 form one logical show rooted at Show, and a setlist stored directly in Show applies to both parts. The numbered part names include Set, Disc, Disk, CD, D, Part, Side, and Tape forms recognized by the wrapper rules. Promotion requires a date-bearing Show folder, an exact non-numbered media-container directory, a validated related part relationship, and no music-bearing descendant of Show outside that container. Setlist lookup may inspect only the direct files in Show; it must not enumerate or recursively revisit Show's sibling directories.</w:t>
      </w:r>
    </w:p>
    <w:p>
      <w:pPr>
        <w:pStyle w:val="ListBullet"/>
        <w:numPr>
          <w:ilvl w:val="0"/>
          <w:numId w:val="1"/>
        </w:numPr>
        <w:rPr/>
      </w:pPr>
      <w:r>
        <w:t>Exact wrapper part folders such as Jayhawks - Big Release/CD1, Jayhawks - Big Release/CD2, and Jayhawks - Big Release/CD3 must be aggregated as one logical show rooted at the common parent Jayhawks - Big Release.</w:t>
      </w:r>
    </w:p>
    <w:p>
      <w:pPr>
        <w:pStyle w:val="Normal"/>
        <w:rPr/>
      </w:pPr>
      <w:r>
        <w:t>Parenthesized-number release parts: a bare terminal (N) is not a generic wrapper marker. Aggregate folders named Parent (1), Parent (2), through Parent (N) only when at least two parts exist, their numeric suffixes are unique and consecutive beginning at 1, every direct music-bearing child under the common parent belongs to that same numbered set, the stripped common base exactly matches the parent directory name, and the parent itself contains no directly inventoried music. Otherwise keep the children as separate logical groups. A valid numbered set is rooted at the common parent and creates one metadata record.</w:t>
      </w:r>
    </w:p>
    <w:p>
      <w:pPr>
        <w:pStyle w:val="ListBullet"/>
        <w:numPr>
          <w:ilvl w:val="0"/>
          <w:numId w:val="1"/>
        </w:numPr>
        <w:rPr/>
      </w:pPr>
      <w:r>
        <w:t>Wrapper-suffixed music folders such as Marcus, Jay/Big Release CD 1, Marcus, Jay/Big Release CD 2, and Marcus, Jay/Big Release CD 3 must be aggregated as one logical album named Big Release under the common parent Marcus, Jay.</w:t>
      </w:r>
    </w:p>
    <w:p>
      <w:pPr>
        <w:pStyle w:val="Normal"/>
        <w:rPr/>
      </w:pPr>
      <w:r>
        <w:t>Volume-style release-part suffixes such as (Volume 1), (Vol 2), (Vol. 2), (v.1), and v2 are non-compliant release-part aggregation markers only for collection-style sibling folders under a common parent. A short v-number inside a larger descriptive parenthetical, such as (WLIR-FM, rm v.2), is not a volume marker. Differing-base volume siblings aggregate only when every direct music-bearing child under the parent is a volume part; the presence of any unrelated music sibling prevents parent aggregation.</w:t>
      </w:r>
    </w:p>
    <w:p>
      <w:pPr>
        <w:pStyle w:val="ListBullet"/>
        <w:numPr>
          <w:ilvl w:val="0"/>
          <w:numId w:val="1"/>
        </w:numPr>
        <w:rPr/>
      </w:pPr>
      <w:r>
        <w:t>Aggregated release-part groups must collect representative media-file paths and representative media extensions from all related part folders and must create only one metadata record and one bootlist row for the logical show. An aggregated group must never overlap another logical group under the same parent. Setlist candidates and exact media filenames are discovered later from the known part folders when needed.</w:t>
      </w:r>
    </w:p>
    <w:p>
      <w:pPr>
        <w:numPr>
          <w:ilvl w:val="0"/>
          <w:numId w:val="1"/>
        </w:numPr>
        <w:rPr/>
      </w:pPr>
      <w:r>
        <w:t>After non-compliant grouping decisions are complete and before Stage 3 mutation work is scheduled, buckets that resolve to the same normalized physical MAIN_DIR_PATH must be collapsed into one logical group. Merge their unique music directories, media files, sample files, and media extensions and preserve applicable aggregation metadata. No two Stage 3 jobs may independently tag or rename the same logical show root merely because direct root audio and wrapper/supplemental descendants were initially discovered through different grouping paths.</w:t>
      </w:r>
    </w:p>
    <w:p>
      <w:pPr>
        <w:pStyle w:val="Normal"/>
        <w:rPr/>
      </w:pPr>
      <w:r>
        <w:t>For differing-base volume-style siblings, the stripped volume names do not need to match. Example: Bob Dylan - Collection/Early Days (Vol 1) plus Bob Dylan - Collection/Latter Days (Vol 2) aggregate under Bob Dylan - Collection, with the parent as the logical inventory path.</w:t>
      </w:r>
    </w:p>
    <w:p>
      <w:pPr>
        <w:pStyle w:val="Normal"/>
        <w:rPr/>
      </w:pPr>
      <w:r>
        <w:t>For same-base volume-style siblings, do not aggregate. Example: Bill Dickens 1987-03-14 Great Venue NY NY (Volume 1) plus Bill Dickens 1987-03-14 Great Venue NY NY (Volume 2) are two separate inventory entries. Each row points to its own volume folder. The stripped show base is used for metadata/setlist naming, and normal size-aware setlist collision handling assigns alternates such as base.txt and base(alt1).txt when needed.</w:t>
      </w:r>
    </w:p>
    <w:p>
      <w:pPr/>
      <w:r>
        <w:t>Non-date sibling collection discovery applies only during a real non-compliant Full Inventory run and only to direct sibling folder families represented by the current search path. Dry Run must not create, rename, or move a collection folder; if an interrupted prior consolidation is present, Dry Run blocks for recovery instead of changing it. A candidate shared release base must contain an Artist - Release delimiter and must not contain a complete performance date. The complete unknown-date placeholder xxxx-xx-xx (case-insensitive, with the supported date separators) is treated as a specific-date boundary for this sibling-collection rule and also excludes consolidation. A single year, year span, decade label such as 1980's, or no year remains eligible.</w:t>
      </w:r>
    </w:p>
    <w:p>
      <w:pPr/>
      <w:r>
        <w:t>Recognize incrementing D, CD, Disc, Disk, Set, Part, Side, Tape, terminal parenthesized-number, and alt-number suffix families. Candidate discovery may walk upward only through the current media file's own ancestors to locate its suffixed collection child; it must not enumerate or revisit unrelated folders one level above the current search root.</w:t>
      </w:r>
    </w:p>
    <w:p>
      <w:pPr/>
      <w:r>
        <w:t>All candidate collection children and their proposed parent must have the same filesystem device identifier. TLO must not search another partition for grouping or discrimination evidence, and a mixed-device family must fail closed without moving any folder.</w:t>
      </w:r>
    </w:p>
    <w:p>
      <w:pPr/>
      <w:r>
        <w:t>D/CD-style numbered children are explicit multipart evidence. Numbered alt children require usable song-title evidence from discriminated setlist files or audio filenames. If two alternatives have at least 60 percent title overlap relative to the smaller distinct list, or a shifted contiguous run of at least three titles covering at least half the smaller list, treat them as similar alternatives and do not fold the later copy into the collection. Insufficient alt evidence also fails closed.</w:t>
      </w:r>
    </w:p>
    <w:p>
      <w:pPr/>
      <w:r>
        <w:t>For each accepted family, create a unique hidden temporary sibling directory at the same filesystem level as the collection members, write a transaction journal naming the exact original, staged, and final paths, and move only the accepted collection members into that temporary sibling. For ordinary D/CD/Disc/Part families, preserve each member folder name. For an alt family that includes the unsuffixed base folder, never create a final Name/Name parent-child pair: stage that unsuffixed original as Name (alt0), followed by the existing alt1, alt2, and later members. Create parent info.txt by concatenating every usable member setlist in collection order. Preserve the member directories and their source setlist files inside the aggregate.</w:t>
      </w:r>
    </w:p>
    <w:p>
      <w:pPr/>
      <w:r>
        <w:t>After all member moves and the generated info.txt write succeed, rename the temporary sibling directory to the exact stripped shared release name and atomically rewrite current complete-path log entries to their new aggregate paths. For an alt family, the rewritten unsuffixed member paths point to Name (alt0), so the aggregate parent keeps the normal shared release name without containing a second child of that same name. Inventory only the new aggregate parent and generated info.txt. If an independent destination exists, any move fails, or log commit fails, roll back the complete transaction to the exact original sibling names. On the next normal (non-Dry-Run) inventory, a validated interrupted journal must be rolled back before scanning.</w:t>
      </w:r>
    </w:p>
    <w:p>
      <w:pPr/>
      <w:r>
        <w:t>When interrupted sibling-collection recovery cannot be completed automatically, the user-visible error must identify the recovery container, recovery journal, planned final folder when available, and every journaled member's original path, staged path, and current state (including ORIGINAL_ONLY, STAGED_ONLY, BOTH, MISSING, or a recovery-container/original-path collision). The message must explain that TLO stopped rather than guessing, advise closing programs that may hold the folders open and rerunning Inventory, and tell the user not to delete or merge the recovery container/journal manually. Dry Run remains read-only and must display the same path/state evidence while instructing the user to perform a normal inventory for automatic recovery. When a journal path was translated between Windows and WSL forms, the diagnostic must show the current-runtime path and the journal path form so the user can see why the paths differ. Automatic rollback is permitted only for a bounded recovery journal that validates structurally and carries a nonce registered under the active TLOHome/logs directory. Unregistered or oversized journals must fail closed without moving, renaming, or deleting any filesystem object. generated_info may be absent or exactly info.txt; staged/member names may not be . or ...</w:t>
      </w:r>
    </w:p>
    <w:p>
      <w:pPr/>
      <w:r>
        <w:t>A consolidated parent is one logical inventory/tagging group even when a member's music is below a bounded media container such as D1/FLAC. Order every file from the original/alt0 member before alt1, alt2, and later alternatives, or from part 1 before part 2 and so forth, then assign one continuous collection-wide Track Number sequence. Use 01 through N for at most 99 tracks and 001 through N when the collection exceeds 99 tracks.</w:t>
      </w:r>
    </w:p>
    <w:p>
      <w:pPr>
        <w:pStyle w:val="ListBullet"/>
        <w:numPr>
          <w:ilvl w:val="0"/>
          <w:numId w:val="1"/>
        </w:numPr>
        <w:rPr/>
      </w:pPr>
      <w:r>
        <w:t>Confirm that the item is actually a music file, not a directory whose name happens to contain a music extension. (see Appendix E1)</w:t>
      </w:r>
    </w:p>
    <w:p>
      <w:pPr>
        <w:pStyle w:val="ListBullet"/>
        <w:numPr>
          <w:ilvl w:val="0"/>
          <w:numId w:val="1"/>
        </w:numPr>
        <w:rPr/>
      </w:pPr>
      <w:r>
        <w:t>Do not treat .flac, .flac16, .shn, or similar substrings in a directory name as a music file. (see Appendix E1)</w:t>
      </w:r>
    </w:p>
    <w:p>
      <w:pPr>
        <w:pStyle w:val="Normal"/>
        <w:rPr/>
      </w:pPr>
      <w:r>
        <w:t>Valid media-file path example: /mnt/c/g/BillyBob.flac16/bb2026-03-22track1.flac</w:t>
      </w:r>
    </w:p>
    <w:p>
      <w:pPr>
        <w:pStyle w:val="Normal"/>
        <w:rPr/>
      </w:pPr>
      <w:r>
        <w:t>Valid media-file path example: /mnt/c/g/BillyBob.flac/bb2026-03-22track1.flac</w:t>
      </w:r>
    </w:p>
    <w:p>
      <w:pPr>
        <w:pStyle w:val="ListBullet"/>
        <w:numPr>
          <w:ilvl w:val="0"/>
          <w:numId w:val="1"/>
        </w:numPr>
        <w:rPr/>
      </w:pPr>
      <w:r>
        <w:t>The -ignoreDir rule is a hard traversal rule. Any directory or folder whose visible name ends in -ignoreDir, case-insensitively, must be disregarded before type checks, recording, scanning, grouping, placeholder setlist scanning, or recursion.</w:t>
      </w:r>
    </w:p>
    <w:p>
      <w:pPr>
        <w:pStyle w:val="ListBullet"/>
        <w:numPr>
          <w:ilvl w:val="0"/>
          <w:numId w:val="1"/>
        </w:numPr>
        <w:rPr/>
      </w:pPr>
      <w:r>
        <w:t>The same directory-pruning rule applies during any later scan that walks the original music folder, including generated placeholder setlist music-file scanning.</w:t>
      </w:r>
    </w:p>
    <w:p>
      <w:pPr/>
      <w:r>
        <w:t>REQ-WALK-001  All collection walkers must apply the shared tlo_path_policy prune policy before descending into directories. This includes Phase 1, sibling-collection discovery, Add Shows folder scans, and every tlo-deleteDupes discovery/comparison walk. The shared exclusions include operating-system managed trash/index folders and TLO .tlo-collection-, .tlo-case-rename-, .tlo-copy-, .tlo-partial-, .tlo-restore-, and .tlo-convert- work trees so interrupted or in-progress operations are never inventoried, compared, moved, or otherwise treated as Shows.</w:t>
      </w:r>
    </w:p>
    <w:p>
      <w:pPr>
        <w:pStyle w:val="Heading1"/>
        <w:rPr/>
      </w:pPr>
      <w:r>
        <w:t>4. Artist Database Requirements</w:t>
      </w:r>
    </w:p>
    <w:p>
      <w:pPr>
        <w:pStyle w:val="ListBullet"/>
        <w:numPr>
          <w:ilvl w:val="0"/>
          <w:numId w:val="1"/>
        </w:numPr>
        <w:rPr/>
      </w:pPr>
      <w:r>
        <w:t>Artist database schema is defined in Appendix G – Artist Database Schema.</w:t>
      </w:r>
    </w:p>
    <w:p>
      <w:pPr>
        <w:pStyle w:val="ListBullet"/>
        <w:numPr>
          <w:ilvl w:val="0"/>
          <w:numId w:val="1"/>
        </w:numPr>
        <w:rPr/>
      </w:pPr>
      <w:r>
        <w:t>Current working baseline database location is TLOHome/TLO_DBs/artists.sqlite.</w:t>
      </w:r>
    </w:p>
    <w:p>
      <w:pPr>
        <w:pStyle w:val="ListBullet"/>
      </w:pPr>
      <w:r>
        <w:t>Artist database and matcher caches must be bounded for long inventory runs. Repeated artist/alias lookups may be cached during a run, but distinct-query caches must have an upper bound and use an eviction policy such as LRU when that bound is reached.</w:t>
      </w:r>
    </w:p>
    <w:p>
      <w:pPr>
        <w:pStyle w:val="ListBullet"/>
        <w:numPr>
          <w:ilvl w:val="0"/>
          <w:numId w:val="1"/>
        </w:numPr>
        <w:rPr/>
      </w:pPr>
      <w:r>
        <w:t>If a query returns exactly one matching master name, return the master/prime name, the search term, and all aliases for that master name so they can be cached. (see Appendix E7 and Appendix G)</w:t>
      </w:r>
    </w:p>
    <w:p>
      <w:pPr>
        <w:pStyle w:val="ListBullet"/>
        <w:numPr>
          <w:ilvl w:val="0"/>
          <w:numId w:val="1"/>
        </w:numPr>
        <w:rPr/>
      </w:pPr>
      <w:r>
        <w:t>If a query returns more than one matching master name, record a query collision, include the colliding master names, and leave the artist blank.</w:t>
      </w:r>
    </w:p>
    <w:p>
      <w:pPr>
        <w:pStyle w:val="ListBullet"/>
        <w:numPr>
          <w:ilvl w:val="0"/>
          <w:numId w:val="1"/>
        </w:numPr>
        <w:rPr/>
      </w:pPr>
      <w:r>
        <w:t>Always save artists using the master name when a DB match is used.</w:t>
      </w:r>
    </w:p>
    <w:p>
      <w:pPr>
        <w:pStyle w:val="ListBullet"/>
        <w:numPr>
          <w:ilvl w:val="0"/>
          <w:numId w:val="1"/>
        </w:numPr>
        <w:rPr/>
      </w:pPr>
      <w:r>
        <w:t>When searching, strip articles such as the and a in any required form, case-insensitively.</w:t>
      </w:r>
    </w:p>
    <w:p>
      <w:pPr>
        <w:pStyle w:val="ListBullet"/>
        <w:numPr>
          <w:ilvl w:val="0"/>
          <w:numId w:val="1"/>
        </w:numPr>
        <w:rPr/>
      </w:pPr>
      <w:r>
        <w:t>Normalize single quotes before searching.</w:t>
      </w:r>
    </w:p>
    <w:p>
      <w:pPr>
        <w:pStyle w:val="ListBullet"/>
      </w:pPr>
      <w:r>
        <w:t>If a potential artist candidate ends with the separate final word Band or Group, with a terminal All Star/All Stars spelling (All Star, All Stars, All-Star, All-Stars, AllStar, or AllStars; case-insensitive, with a space or dash allowed before the All-Star suffix), or with terminal All Star Band / All-Star Band (including plural All Stars Band / All-Stars Band) and the complete candidate returns no Artist DB match, retry the Artist DB lookup once after removing that terminal suffix. The complete candidate is always searched first and wins if it exists. Accept the stripped retry only when the remaining artist text resolves uniquely in the Artist DB. When it does, use the resolved DB master to identify the base artist, then restore the exact terminal suffix text that was removed and use that restored expanded name as the artist for the performance. If the resolved DB master already ends in a supported grouping suffix, do not append another suffix. Ambiguous stripped matches remain unresolved. The suffix rule applies only at the end of the potential artist name.</w:t>
      </w:r>
    </w:p>
    <w:p>
      <w:pPr>
        <w:pStyle w:val="ListBullet"/>
      </w:pPr>
      <w:r>
        <w:t>When the terminal-suffix fallback succeeds and the restored performance artist is not itself the full Artist DB master, mark that restored artist as not present in the database and persist it to TLOHome/artistsNotInDatabase.txt. Preserve prior file entries in their existing encounter order, append newly encountered current-run restored artist names in current-run encounter order, and de-duplicate case-insensitively. Do not alphabetically sort this review file. Do not add an unchanged DB master when the master already contains the supported suffix.</w:t>
      </w:r>
    </w:p>
    <w:p>
      <w:pPr>
        <w:pStyle w:val="Heading2"/>
      </w:pPr>
      <w:r>
        <w:t>4.1 Canonical Artist Evidence Precedence</w:t>
      </w:r>
    </w:p>
    <w:p>
      <w:pPr>
        <w:pStyle w:val="ListBullet"/>
      </w:pPr>
      <w:r>
        <w:t>For non-compliant identification, apply artist evidence in the following order. Later tiers are fallbacks unless the structured-setlist exception below explicitly permits replacement of weak generic path evidence. Within any DB-backed tier, use the Artist DB master unless As-Is Artist Name applies.</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Priority</w:t>
            </w:r>
          </w:p>
        </w:tc>
        <w:tc>
          <w:tcPr>
            <w:tcW w:type="dxa" w:w="2880"/>
          </w:tcPr>
          <w:p>
            <w:r>
              <w:rPr>
                <w:sz w:val="18"/>
              </w:rPr>
              <w:t>Artist evidence</w:t>
            </w:r>
          </w:p>
        </w:tc>
        <w:tc>
          <w:tcPr>
            <w:tcW w:type="dxa" w:w="2880"/>
          </w:tcPr>
          <w:p>
            <w:r>
              <w:rPr>
                <w:sz w:val="18"/>
              </w:rPr>
              <w:t>Rule</w:t>
            </w:r>
          </w:p>
        </w:tc>
      </w:tr>
      <w:tr>
        <w:tc>
          <w:tcPr>
            <w:tcW w:type="dxa" w:w="2880"/>
          </w:tcPr>
          <w:p>
            <w:r>
              <w:rPr>
                <w:sz w:val="18"/>
              </w:rPr>
              <w:t>1</w:t>
            </w:r>
          </w:p>
        </w:tc>
        <w:tc>
          <w:tcPr>
            <w:tcW w:type="dxa" w:w="2880"/>
          </w:tcPr>
          <w:p>
            <w:r>
              <w:rPr>
                <w:sz w:val="18"/>
              </w:rPr>
              <w:t>/slam explicit override</w:t>
            </w:r>
          </w:p>
        </w:tc>
        <w:tc>
          <w:tcPr>
            <w:tcW w:type="dxa" w:w="2880"/>
          </w:tcPr>
          <w:p>
            <w:r>
              <w:rPr>
                <w:sz w:val="18"/>
              </w:rPr>
              <w:t>Authoritative user-supplied artist override for that Path(s) entry.</w:t>
            </w:r>
          </w:p>
        </w:tc>
      </w:tr>
      <w:tr>
        <w:tc>
          <w:tcPr>
            <w:tcW w:type="dxa" w:w="2880"/>
          </w:tcPr>
          <w:p>
            <w:r>
              <w:rPr>
                <w:sz w:val="18"/>
              </w:rPr>
              <w:t>2</w:t>
            </w:r>
          </w:p>
        </w:tc>
        <w:tc>
          <w:tcPr>
            <w:tcW w:type="dxa" w:w="2880"/>
          </w:tcPr>
          <w:p>
            <w:r>
              <w:rPr>
                <w:sz w:val="18"/>
              </w:rPr>
              <w:t>Strong explicit path/folder/commercial evidence</w:t>
            </w:r>
          </w:p>
        </w:tc>
        <w:tc>
          <w:tcPr>
            <w:tcW w:type="dxa" w:w="2880"/>
          </w:tcPr>
          <w:p>
            <w:r>
              <w:rPr>
                <w:sz w:val="18"/>
              </w:rPr>
              <w:t>DB-backed or rule-explicit folder/path artist evidence. Strong explicit evidence is not displaced by lower tiers.</w:t>
            </w:r>
          </w:p>
        </w:tc>
      </w:tr>
      <w:tr>
        <w:tc>
          <w:tcPr>
            <w:tcW w:type="dxa" w:w="2880"/>
          </w:tcPr>
          <w:p>
            <w:r>
              <w:rPr>
                <w:sz w:val="18"/>
              </w:rPr>
              <w:t>3</w:t>
            </w:r>
          </w:p>
        </w:tc>
        <w:tc>
          <w:tcPr>
            <w:tcW w:type="dxa" w:w="2880"/>
          </w:tcPr>
          <w:p>
            <w:r>
              <w:rPr>
                <w:sz w:val="18"/>
              </w:rPr>
              <w:t>Structured selected-setlist Artist metadata</w:t>
            </w:r>
          </w:p>
        </w:tc>
        <w:tc>
          <w:tcPr>
            <w:tcW w:type="dxa" w:w="2880"/>
          </w:tcPr>
          <w:p>
            <w:r>
              <w:rPr>
                <w:sz w:val="18"/>
              </w:rPr>
              <w:t>Requires the established DB/collaboration safeguards. May replace only weaker generic path-pattern/subdirectory artist evidence when its structured confidence is strictly higher; cannot replace /slam or strong explicit path/folder/commercial evidence.</w:t>
            </w:r>
          </w:p>
        </w:tc>
      </w:tr>
      <w:tr>
        <w:tc>
          <w:tcPr>
            <w:tcW w:type="dxa" w:w="2880"/>
          </w:tcPr>
          <w:p>
            <w:r>
              <w:rPr>
                <w:sz w:val="18"/>
              </w:rPr>
              <w:t>4</w:t>
            </w:r>
          </w:p>
        </w:tc>
        <w:tc>
          <w:tcPr>
            <w:tcW w:type="dxa" w:w="2880"/>
          </w:tcPr>
          <w:p>
            <w:r>
              <w:rPr>
                <w:sz w:val="18"/>
              </w:rPr>
              <w:t>Selected-setlist filename artist</w:t>
            </w:r>
          </w:p>
        </w:tc>
        <w:tc>
          <w:tcPr>
            <w:tcW w:type="dxa" w:w="2880"/>
          </w:tcPr>
          <w:p>
            <w:r>
              <w:rPr>
                <w:sz w:val="18"/>
              </w:rPr>
              <w:t>DB-backed filename evidence used only when no artist has been established by priorities 1-3.</w:t>
            </w:r>
          </w:p>
        </w:tc>
      </w:tr>
      <w:tr>
        <w:tc>
          <w:tcPr>
            <w:tcW w:type="dxa" w:w="2880"/>
          </w:tcPr>
          <w:p>
            <w:r>
              <w:rPr>
                <w:sz w:val="18"/>
              </w:rPr>
              <w:t>5</w:t>
            </w:r>
          </w:p>
        </w:tc>
        <w:tc>
          <w:tcPr>
            <w:tcW w:type="dxa" w:w="2880"/>
          </w:tcPr>
          <w:p>
            <w:r>
              <w:rPr>
                <w:sz w:val="18"/>
              </w:rPr>
              <w:t>DB-matched sampled audio tag artist (FLAC/MP3)</w:t>
            </w:r>
          </w:p>
        </w:tc>
        <w:tc>
          <w:tcPr>
            <w:tcW w:type="dxa" w:w="2880"/>
          </w:tcPr>
          <w:p>
            <w:r>
              <w:rPr>
                <w:sz w:val="18"/>
              </w:rPr>
              <w:t>Deferred until priorities 1-4 fail. Within this tier, usable ALBUMARTIST is considered before ARTIST.</w:t>
            </w:r>
          </w:p>
        </w:tc>
      </w:tr>
      <w:tr>
        <w:tc>
          <w:tcPr>
            <w:tcW w:type="dxa" w:w="2880"/>
          </w:tcPr>
          <w:p>
            <w:r>
              <w:rPr>
                <w:sz w:val="18"/>
              </w:rPr>
              <w:t>6</w:t>
            </w:r>
          </w:p>
        </w:tc>
        <w:tc>
          <w:tcPr>
            <w:tcW w:type="dxa" w:w="2880"/>
          </w:tcPr>
          <w:p>
            <w:r>
              <w:rPr>
                <w:sz w:val="18"/>
              </w:rPr>
              <w:t>Unmatched raw sampled audio tag artist</w:t>
            </w:r>
          </w:p>
        </w:tc>
        <w:tc>
          <w:tcPr>
            <w:tcW w:type="dxa" w:w="2880"/>
          </w:tcPr>
          <w:p>
            <w:r>
              <w:rPr>
                <w:sz w:val="18"/>
              </w:rPr>
              <w:t>Last-resort non-compliant fallback only after stronger evidence fails; numeric/date-like/noise values are rejected.</w:t>
            </w:r>
          </w:p>
        </w:tc>
      </w:tr>
    </w:tbl>
    <w:p>
      <w:pPr>
        <w:pStyle w:val="Heading1"/>
        <w:rPr/>
      </w:pPr>
      <w:r>
        <w:t>5. Date Parsing Requirements</w:t>
      </w:r>
    </w:p>
    <w:p>
      <w:pPr>
        <w:pStyle w:val="ListBullet"/>
        <w:numPr>
          <w:ilvl w:val="0"/>
          <w:numId w:val="1"/>
        </w:numPr>
        <w:rPr/>
      </w:pPr>
      <w:r>
        <w:t>Dates may be ranges of the form YYYY-YYYY, YY-YY, YYYY-YY, and increasing multi-part ranges such as 1996-97-98. Ranges may use only dashes or underscores; dots, spaces, slashes, and compact eight-digit forms are not range delimiters. All year-range components must increase after normalization. Ranges whose components are all explicit four-digit years, such as 1917-1939, have no span cap and are valid if each year increases left to right. Shorthand or mixed ranges that use any two-digit component remain capped at a five-year normalized span. YY-YY ranges use the normal two-digit-year pivot, and YYYY-YY continuation values expand near the first year, so 96-98 and 1996-97-98 normalize to 1996-1998. A four-digit year followed immediately by two digits, such as 200104, may be ambiguous between yyyy-mm-xx and yyyy-yyyy when the final two digits plausibly advance the year, including 1999-to-2000/2001 rollover; setlist date/range confirmation and a leading setlist collection clue resolve conflicts. Textual month-day-year forms may include a comma before the year, such as June 15, 2006, and must normalize to yyyy-mm-dd. Numeric separated dates must use one separator style consistently within the candidate; do not accept mixed separator candidates such as yyyy-mm/dd, yyyy.mm/dd, yyyy mm-dd, yyyy mm.dd, or mm/dd-yy. Whitespace around punctuation separators such as " - ", "- ", " -", and " . " is acceptable when the effective separator kind remains consistent. See Appendix E4 for exact patterns and normalization behavior.</w:t>
      </w:r>
    </w:p>
    <w:p>
      <w:pPr>
        <w:pStyle w:val="ListBullet"/>
        <w:numPr>
          <w:ilvl w:val="0"/>
          <w:numId w:val="1"/>
        </w:numPr>
        <w:rPr/>
      </w:pPr>
      <w:r>
        <w:t>A date may appear in any valid numeric, alphabetic, or mixed alphanumeric format. Textual month dates must continue to support no-space forms such as 14APR01, 14APRIL01, 14April01, Apr142001, and 2001APR14; dash, dot, and underscore forms such as 14-Apr-2001, 14.APR.2001, and 14_April_2001; and comma/space variants such as April 14 2001, April 14, 2001, and April 14,2001.</w:t>
      </w:r>
    </w:p>
    <w:p>
      <w:pPr>
        <w:pStyle w:val="ListBullet"/>
        <w:numPr>
          <w:ilvl w:val="0"/>
          <w:numId w:val="1"/>
        </w:numPr>
        <w:rPr/>
      </w:pPr>
      <w:r>
        <w:t>Support US order and European order where the date is otherwise valid. For all-numeric separated dates in paths and filenames, the delimiter must be dash, dot, underscore, or space and must not be mixed; the only mixed numeric case retained is FOUR_PLUS_FOUR_RE handling. For selected-setlist content and sampled audio DATE tags (FLAC or MP3) only, slash-delimited m/d/y and d/m/y forms are accepted with spaces around slashes allowed.</w:t>
      </w:r>
    </w:p>
    <w:p>
      <w:pPr>
        <w:pStyle w:val="ListBullet"/>
        <w:numPr>
          <w:ilvl w:val="0"/>
          <w:numId w:val="1"/>
        </w:numPr>
        <w:rPr/>
      </w:pPr>
      <w:r>
        <w:t>Support single-digit month, single-digit day, and two-digit year.</w:t>
      </w:r>
    </w:p>
    <w:p>
      <w:pPr>
        <w:pStyle w:val="ListBullet"/>
        <w:numPr>
          <w:ilvl w:val="0"/>
          <w:numId w:val="1"/>
        </w:numPr>
        <w:rPr/>
      </w:pPr>
      <w:r>
        <w:t>Support ordinal days such as 1st, 2nd, 3rd, 4th, and uppercase suffix variants such as 1ST, 2ND, 3RD, and 4TH. Do not support fully spelled-out ordinal days as ordinals.</w:t>
      </w:r>
    </w:p>
    <w:p>
      <w:pPr>
        <w:pStyle w:val="ListBullet"/>
        <w:numPr>
          <w:ilvl w:val="0"/>
          <w:numId w:val="1"/>
        </w:numPr>
        <w:rPr/>
      </w:pPr>
      <w:r>
        <w:t>For two-digit years, choose the most recent century interpretation that does not place the year in the future relative to the runtime current year. A two-digit year less than or equal to the runtime year's final two digits maps to the current century; larger values map to the preceding century. Complete normalized dates later than the current date are invalid; explicit four-digit future years are invalid. Partial years that do not identify a definite future date retain the established partial-date rules.</w:t>
      </w:r>
    </w:p>
    <w:p>
      <w:pPr>
        <w:pStyle w:val="ListBullet"/>
        <w:numPr>
          <w:ilvl w:val="0"/>
          <w:numId w:val="1"/>
        </w:numPr>
        <w:rPr/>
      </w:pPr>
      <w:r>
        <w:t>Dates may contain x placeholders or 00 placeholders.</w:t>
      </w:r>
    </w:p>
    <w:p>
      <w:pPr>
        <w:pStyle w:val="ListBullet"/>
        <w:numPr>
          <w:ilvl w:val="0"/>
          <w:numId w:val="1"/>
        </w:numPr>
        <w:rPr/>
      </w:pPr>
      <w:r>
        <w:t>x placeholders are valid only as a contiguous right-side suffix across the normalized yyyymmdd token. Valid forms include 2001-04-1x, 2001-04-xx, 2004-0x-xx, 202x-xx-xx, 19xx-xx-xx, 20xx-xx-xx, and xxxx-xx-xx. Century-known partial years 19xx and 20xx are legitimate only when every less-significant date component is also unknown, as in 19xx-xx-xx or 20xx-xx-xx. Broader one-digit-known years such as 1xxx and 2xxx remain invalid. Examples such as 19xx-05-xx, 20xx-xx-14, xxxx-04-14, 2001-x4-14, 2001-xx-14, and 2001-04-x4 are invalid.</w:t>
      </w:r>
    </w:p>
    <w:p>
      <w:pPr>
        <w:pStyle w:val="ListBullet"/>
        <w:numPr>
          <w:ilvl w:val="0"/>
          <w:numId w:val="1"/>
        </w:numPr>
        <w:rPr/>
      </w:pPr>
      <w:r>
        <w:t>Support YYYY MMDD and YYYY-MMDD through FOUR_PLUS_FOUR_RE. The space form must resolve to a valid date in US MMDD order or, when US order is invalid, European DDMM order. Ambiguous valid space values continue to prefer US MMDD. The dash form must first be checked as a possible YYYY-YYYY range; valid exact ranges remain ranges, and non-range dash values may then resolve as compact dates.</w:t>
      </w:r>
    </w:p>
    <w:p>
      <w:pPr>
        <w:pStyle w:val="ListBullet"/>
        <w:numPr>
          <w:ilvl w:val="0"/>
          <w:numId w:val="1"/>
        </w:numPr>
        <w:rPr/>
      </w:pPr>
      <w:r>
        <w:t>Support forms such as 1972 march 9 and include appropriate month abbreviations.</w:t>
      </w:r>
    </w:p>
    <w:p>
      <w:pPr>
        <w:pStyle w:val="ListBullet"/>
        <w:numPr>
          <w:ilvl w:val="0"/>
          <w:numId w:val="1"/>
        </w:numPr>
        <w:rPr/>
      </w:pPr>
      <w:r>
        <w:t>If the normalized result is not a valid date, disregard the candidate date.</w:t>
      </w:r>
    </w:p>
    <w:p>
      <w:pPr>
        <w:pStyle w:val="ListBullet"/>
        <w:numPr>
          <w:ilvl w:val="0"/>
          <w:numId w:val="1"/>
        </w:numPr>
        <w:rPr/>
      </w:pPr>
      <w:r>
        <w:t>Compact eight-digit values are date candidates only, not date ranges, during date extraction. Compact YYYYMMDD must normalize to yyyy-mm-dd only when it forms a valid calendar date. Filename normalization has a separate exception: when an eight-digit token is not a valid YYYYMMDD date but is an increasing compact year range such as 19961998, exported setlist filename text normalizes it to 1996-1998; decreasing compact ranges such as 19981997 remain unchanged.</w:t>
      </w:r>
    </w:p>
    <w:p>
      <w:pPr>
        <w:pStyle w:val="ListBullet"/>
        <w:numPr>
          <w:ilvl w:val="0"/>
          <w:numId w:val="1"/>
        </w:numPr>
        <w:rPr/>
      </w:pPr>
      <w:r>
        <w:t>Audio sample-rate/bit-depth expressions are not date evidence. Values such as 44.1/16, 24/96, 16/48, 16-44, 24-96, or similar source-format references must be ignored during date extraction even when found in the selected setlist text, path text, music filename, or generated-setlist filename fallback text.</w:t>
      </w:r>
    </w:p>
    <w:p>
      <w:pPr>
        <w:pStyle w:val="Normal"/>
        <w:rPr/>
      </w:pPr>
      <w:r>
        <w:t>Illustrative two-digit-year mapping when the runtime year ends in 26: 26 -&gt; 2026.</w:t>
      </w:r>
    </w:p>
    <w:p>
      <w:pPr>
        <w:pStyle w:val="Normal"/>
        <w:rPr/>
      </w:pPr>
      <w:r>
        <w:t>Under that same illustration, 27 -&gt; 1927.</w:t>
      </w:r>
    </w:p>
    <w:p>
      <w:pPr>
        <w:pStyle w:val="Normal"/>
        <w:rPr/>
      </w:pPr>
      <w:r>
        <w:t>Under that same illustration, 75 -&gt; 1975.</w:t>
      </w:r>
    </w:p>
    <w:p>
      <w:pPr>
        <w:pStyle w:val="Normal"/>
        <w:rPr/>
      </w:pPr>
      <w:r>
        <w:t>19xx-xx-xx; 20xx-xx-xx; xxxx-xx-xx</w:t>
      </w:r>
    </w:p>
    <w:p>
      <w:pPr>
        <w:pStyle w:val="Normal"/>
        <w:rPr/>
      </w:pPr>
      <w:r>
        <w:t>2021-0x-xx</w:t>
      </w:r>
    </w:p>
    <w:p>
      <w:pPr>
        <w:pStyle w:val="Normal"/>
        <w:rPr/>
      </w:pPr>
      <w:r>
        <w:t>1977-xx-xx</w:t>
      </w:r>
    </w:p>
    <w:p>
      <w:pPr>
        <w:pStyle w:val="Normal"/>
        <w:rPr/>
      </w:pPr>
      <w:r>
        <w:t>1956-10-1x</w:t>
      </w:r>
    </w:p>
    <w:p>
      <w:pPr>
        <w:pStyle w:val="Normal"/>
        <w:rPr/>
      </w:pPr>
      <w:r>
        <w:t>1976-00-00</w:t>
      </w:r>
    </w:p>
    <w:p>
      <w:pPr>
        <w:pStyle w:val="Normal"/>
        <w:rPr/>
      </w:pPr>
      <w:r>
        <w:t>1965-03-00</w:t>
      </w:r>
    </w:p>
    <w:p>
      <w:pPr>
        <w:pStyle w:val="Normal"/>
        <w:rPr/>
      </w:pPr>
      <w:r>
        <w:t>1965-11-00</w:t>
      </w:r>
    </w:p>
    <w:p>
      <w:pPr>
        <w:pStyle w:val="Heading1"/>
        <w:rPr/>
      </w:pPr>
      <w:r>
        <w:t>6. Non-Compliant Audio Tag Metadata Check</w:t>
      </w:r>
    </w:p>
    <w:p>
      <w:pPr>
        <w:pStyle w:val="Heading2"/>
        <w:rPr/>
      </w:pPr>
      <w:r>
        <w:t>6.1 Artist Tags</w:t>
      </w:r>
    </w:p>
    <w:p>
      <w:pPr>
        <w:pStyle w:val="ListBullet"/>
        <w:numPr>
          <w:ilvl w:val="0"/>
          <w:numId w:val="1"/>
        </w:numPr>
        <w:rPr/>
      </w:pPr>
      <w:r>
        <w:t>In non-compliant mode only, before applying the deferred audio-tag fallback tier, sample tags from up to two supported tagged audio files (FLAC or MP3) regardless of Performance Mode. Unsupported audio formats are skipped while selecting those samples. In compliant mode, do not read, carry forward, log, or use sampled FLAC/MP3 metadata tags. (see Appendix E1 and Appendix E7)</w:t>
      </w:r>
    </w:p>
    <w:p>
      <w:pPr/>
      <w:r>
        <w:t>For sampled FLAC or MP3 metadata, ALBUMARTIST is considered before ARTIST within the audio-tag evidence tier. Both remain lower priority than the stronger sources defined by the canonical Section 4.1 artist-precedence table.</w:t>
      </w:r>
    </w:p>
    <w:p>
      <w:pPr>
        <w:pStyle w:val="ListBullet"/>
        <w:numPr>
          <w:ilvl w:val="0"/>
          <w:numId w:val="1"/>
        </w:numPr>
        <w:rPr/>
      </w:pPr>
      <w:r>
        <w:t>Check ARTIST and ALBUMARTIST.</w:t>
      </w:r>
    </w:p>
    <w:p>
      <w:pPr>
        <w:pStyle w:val="ListBullet"/>
        <w:numPr>
          <w:ilvl w:val="0"/>
          <w:numId w:val="1"/>
        </w:numPr>
        <w:rPr/>
      </w:pPr>
      <w:r>
        <w:t>In non-compliant mode, evaluate populated ARTIST/ALBUMARTIST values against the Artist DB before applying generic unknown/track noise rejection. A value that resolves unambiguously in the Artist DB remains valid artist evidence even when its legitimate artist name contains words such as Unknown or Track. Only after the Artist DB does not identify the value may the established generic unknown/track marker rule treat it as blank; the metadata log must show an ignored artist-tag field as blank and path-based artist detection may continue.</w:t>
      </w:r>
    </w:p>
    <w:p>
      <w:pPr>
        <w:pStyle w:val="ListBullet"/>
        <w:numPr>
          <w:ilvl w:val="0"/>
          <w:numId w:val="1"/>
        </w:numPr>
        <w:rPr/>
      </w:pPr>
      <w:r>
        <w:t>A usable populated sampled-audio tag artist that resolves unambiguously in the Artist DB is a DB-backed artist candidate in the audio-tag tier defined by Section 4.1; it does not bypass stronger artist evidence. Before lookup, separate an explicitly dash-delimited or parenthesized terminal performance qualifier such as Early Show or Late Show from the tag artist candidate. If the normal exact lookup misses, TLO may retry after removing apostrophe characters from the candidate and Artist DB aliases; accept that retry only when exactly one master matches. Store the DB master name (or the cleaned As-Is artist spelling when that option is selected) when this audio-tag tier supplies the final artist.</w:t>
      </w:r>
    </w:p>
    <w:p>
      <w:pPr>
        <w:pStyle w:val="ListBullet"/>
        <w:numPr>
          <w:ilvl w:val="0"/>
          <w:numId w:val="1"/>
        </w:numPr>
        <w:rPr/>
      </w:pPr>
      <w:r>
        <w:t>If both ARTIST and ALBUMARTIST are populated and equal, or one is a substring of the other, use the longest populated value as the candidate tag artist; if only the shorter value resolves in the Artist DB, use the shorter value's master name.</w:t>
      </w:r>
    </w:p>
    <w:p>
      <w:pPr>
        <w:pStyle w:val="ListBullet"/>
        <w:numPr>
          <w:ilvl w:val="0"/>
          <w:numId w:val="1"/>
        </w:numPr>
        <w:rPr/>
      </w:pPr>
      <w:r>
        <w:t>If both ARTIST and ALBUMARTIST are populated but neither is a substring of the other, look up both values. If both resolve to the same master name, use that master name.</w:t>
      </w:r>
    </w:p>
    <w:p>
      <w:pPr>
        <w:pStyle w:val="ListBullet"/>
        <w:numPr>
          <w:ilvl w:val="0"/>
          <w:numId w:val="1"/>
        </w:numPr>
        <w:rPr/>
      </w:pPr>
      <w:r>
        <w:t>If both ARTIST and ALBUMARTIST are populated but do not resolve to the same master name, and ALBUMARTIST contains various case-insensitively, set the artist to Various Artists.</w:t>
      </w:r>
    </w:p>
    <w:p>
      <w:pPr>
        <w:pStyle w:val="ListBullet"/>
        <w:numPr>
          <w:ilvl w:val="0"/>
          <w:numId w:val="1"/>
        </w:numPr>
        <w:rPr/>
      </w:pPr>
      <w:r>
        <w:t>Within the sampled-audio tag evidence tier (FLAC or MP3), ALBUMARTIST wins over ARTIST. If both are populated and disagree after the normal blank/noise checks, consider usable ALBUMARTIST values before ARTIST values. This preference does not raise audio-tag evidence above /slam, strong path/folder/commercial evidence, structured selected-setlist Artist metadata, or selected-setlist-filename evidence.</w:t>
      </w:r>
    </w:p>
    <w:p>
      <w:pPr>
        <w:pStyle w:val="ListBullet"/>
        <w:numPr>
          <w:ilvl w:val="0"/>
          <w:numId w:val="1"/>
        </w:numPr>
        <w:rPr/>
      </w:pPr>
      <w:r>
        <w:t>If only one of ARTIST or ALBUMARTIST is populated, use that value as the candidate tag artist.</w:t>
      </w:r>
    </w:p>
    <w:p>
      <w:pPr>
        <w:pStyle w:val="ListBullet"/>
        <w:numPr>
          <w:ilvl w:val="0"/>
          <w:numId w:val="1"/>
        </w:numPr>
        <w:rPr/>
      </w:pPr>
      <w:r>
        <w:t>If the candidate tag artist matches the Artist DB, store the DB master name.</w:t>
      </w:r>
    </w:p>
    <w:p>
      <w:pPr>
        <w:pStyle w:val="ListBullet"/>
        <w:numPr>
          <w:ilvl w:val="0"/>
          <w:numId w:val="1"/>
        </w:numPr>
        <w:rPr/>
      </w:pPr>
      <w:r>
        <w:t>If the candidate tag artist does not match the Artist DB, do not immediately make it the show artist. Defer the normalized raw tag value while DB-backed path artist evidence and explicit selected-setlist artist metadata are checked. If neither identifies an artist, use the deferred raw tag artist as the last-resort fallback and record observations for both the deferral and fallback.</w:t>
      </w:r>
    </w:p>
    <w:p>
      <w:pPr>
        <w:pStyle w:val="ListBullet"/>
      </w:pPr>
      <w:r>
        <w:t>When sampled ARTIST/ALBUMARTIST values do not resolve in the Artist DB, reject values that are plainly metadata noise rather than artists, including numeric-only track identifiers such as 01 or 02 and date-like values such as 1976-05. Do not defer those rejected values as raw-artist fallbacks. Continue checking the remaining sampled ARTIST/ALBUMARTIST values. A numeric or date-like-looking value that does resolve unambiguously in the Artist DB remains a valid artist, so legitimate DB-backed numeric artist names are not suppressed.</w:t>
      </w:r>
    </w:p>
    <w:p>
      <w:pPr>
        <w:pStyle w:val="ListBullet"/>
      </w:pPr>
      <w:r>
        <w:t>The sampled-tag search must not allow the first populated tag value to monopolize artist resolution. Reject numeric/date-like or otherwise unusable values and continue through later samples. Within the low-priority tag tier, evaluate ALBUMARTIST candidates before ARTIST candidates.</w:t>
      </w:r>
    </w:p>
    <w:p>
      <w:pPr>
        <w:pStyle w:val="Heading2"/>
        <w:rPr/>
      </w:pPr>
      <w:r>
        <w:t>6.2 Non-Compliant Date Tag (see Appendix E4 and Appendix E7)</w:t>
      </w:r>
    </w:p>
    <w:p>
      <w:pPr>
        <w:pStyle w:val="ListBullet"/>
        <w:numPr>
          <w:ilvl w:val="0"/>
          <w:numId w:val="1"/>
        </w:numPr>
        <w:rPr/>
      </w:pPr>
      <w:r>
        <w:t>In non-compliant mode only, after artist tags, always check the music file DATE tag regardless of Performance Mode. In compliant mode, do not read, carry forward, log, or use the music file DATE tag.</w:t>
      </w:r>
    </w:p>
    <w:p>
      <w:pPr>
        <w:pStyle w:val="ListBullet"/>
        <w:numPr>
          <w:ilvl w:val="0"/>
          <w:numId w:val="1"/>
        </w:numPr>
        <w:rPr/>
      </w:pPr>
      <w:r>
        <w:t>If the tag exists and is populated, retrieve the string and check whether it is a valid date.</w:t>
      </w:r>
    </w:p>
    <w:p>
      <w:pPr>
        <w:pStyle w:val="ListBullet"/>
        <w:numPr>
          <w:ilvl w:val="0"/>
          <w:numId w:val="1"/>
        </w:numPr>
        <w:rPr/>
      </w:pPr>
      <w:r>
        <w:t>If valid, normalize it and keep it as the potential show date.</w:t>
      </w:r>
    </w:p>
    <w:p>
      <w:pPr>
        <w:pStyle w:val="Heading1"/>
        <w:rPr/>
      </w:pPr>
      <w:r>
        <w:t>7. Non-Compliant Mode</w:t>
      </w:r>
    </w:p>
    <w:p>
      <w:pPr>
        <w:pStyle w:val="Normal"/>
        <w:rPr/>
      </w:pPr>
      <w:r>
        <w:t>Non-compliant mode applies when --compliant is not set.</w:t>
      </w:r>
    </w:p>
    <w:p>
      <w:pPr>
        <w:pStyle w:val="Heading2"/>
        <w:rPr/>
      </w:pPr>
      <w:r>
        <w:t>7.1 General Path Assumption</w:t>
      </w:r>
    </w:p>
    <w:p>
      <w:pPr>
        <w:pStyle w:val="ListBullet"/>
        <w:numPr>
          <w:ilvl w:val="0"/>
          <w:numId w:val="1"/>
        </w:numPr>
        <w:rPr/>
      </w:pPr>
      <w:r>
        <w:t>Assume many shows have an artist name, artist abbreviation, and date in the path.</w:t>
      </w:r>
    </w:p>
    <w:p>
      <w:pPr>
        <w:pStyle w:val="ListBullet"/>
        <w:numPr>
          <w:ilvl w:val="0"/>
          <w:numId w:val="1"/>
        </w:numPr>
        <w:rPr/>
      </w:pPr>
      <w:r>
        <w:t>Common patterns are String1 Date String2 and String1 Date; String1 Date String2 is preferred because it usually contains most desired metadata.</w:t>
      </w:r>
    </w:p>
    <w:p>
      <w:pPr>
        <w:pStyle w:val="ListBullet"/>
        <w:numPr>
          <w:ilvl w:val="0"/>
          <w:numId w:val="1"/>
        </w:numPr>
        <w:rPr/>
      </w:pPr>
      <w:r>
        <w:t>MAIN_DIR_PATH is the logical owning/root directory for a show group. It is normally the directory that contains the music files, but validated wrapper, multipart, collection, and String1 - String2 aggregation rules may intentionally promote a common parent or logical release directory to MAIN_DIR_PATH. MUSIC_DIRS identifies the actual directories that contain the group's music files. Metadata extraction must use the logical MAIN_DIR_PATH together with the group MUSIC_DIRS under the specific precedence/aggregation rules in this section; it must not assume that the logical root and every music-bearing directory are always the same path.</w:t>
      </w:r>
    </w:p>
    <w:p>
      <w:pPr>
        <w:pStyle w:val="Heading2"/>
        <w:rPr/>
      </w:pPr>
      <w:r>
        <w:t>7.2 Wrapper Directories (see Appendix E2)</w:t>
      </w:r>
    </w:p>
    <w:p>
      <w:pPr>
        <w:pStyle w:val="ListBullet"/>
        <w:numPr>
          <w:ilvl w:val="0"/>
          <w:numId w:val="1"/>
        </w:numPr>
        <w:rPr/>
      </w:pPr>
      <w:r>
        <w:t>During metadata extraction, ignore path components that are themselves wrapper/non-main directories, exact wrapper names, or four-digit wrapper folders. Do not discard an otherwise meaningful show/release component merely because it contains wrapper terminology such as FM Broadcast, Soundboard, FLAC, Audio, or Video. The broader wrapper-term containment patterns in Appendix E2 remain available for wrapper/setlist relationship logic but must not suppress Artist/Date parsing of a meaningful component.</w:t>
      </w:r>
    </w:p>
    <w:p>
      <w:pPr>
        <w:pStyle w:val="ListBullet"/>
      </w:pPr>
      <w:r>
        <w:t>Example: Firefall 1976-05-xx Cleveland FM Broadcast is a metadata-bearing show-folder component and must remain eligible for String1 Date String2 parsing; a standalone folder named FM Broadcast remains an exact wrapper.</w:t>
      </w:r>
    </w:p>
    <w:p>
      <w:pPr>
        <w:pStyle w:val="ListBullet"/>
        <w:numPr>
          <w:ilvl w:val="0"/>
          <w:numId w:val="1"/>
        </w:numPr>
        <w:rPr/>
      </w:pPr>
      <w:r>
        <w:t>Any directory name that is a four-digit number is also a wrapper.</w:t>
      </w:r>
    </w:p>
    <w:p>
      <w:pPr>
        <w:pStyle w:val="ListBullet"/>
        <w:numPr>
          <w:ilvl w:val="0"/>
          <w:numId w:val="1"/>
        </w:numPr>
        <w:rPr/>
      </w:pPr>
      <w:r>
        <w:t>Examples include music, tunes, flacs, D1, CD1, and Set1, but the code-derived patterns in Appendix E2 are authoritative.</w:t>
      </w:r>
    </w:p>
    <w:p>
      <w:pPr>
        <w:pStyle w:val="Heading2"/>
        <w:rPr/>
      </w:pPr>
      <w:r>
        <w:t>7.3 String1 Date String2 Search Order (see Appendix E4)</w:t>
      </w:r>
    </w:p>
    <w:p>
      <w:pPr>
        <w:pStyle w:val="ListBullet"/>
        <w:numPr>
          <w:ilvl w:val="0"/>
          <w:numId w:val="1"/>
        </w:numPr>
        <w:rPr/>
      </w:pPr>
      <w:r>
        <w:t>Before cleaning a candidate path component for String1 Date String2 analysis, capture every trailing parenthetical item from the original folder name in left-to-right order. Then strip those items and trailing whitespace for artist, date, venue, and location parsing. The captured items must remain available in PARENTHETICALS for final show-name construction.</w:t>
      </w:r>
    </w:p>
    <w:p>
      <w:pPr>
        <w:pStyle w:val="ListBullet"/>
        <w:numPr>
          <w:ilvl w:val="0"/>
          <w:numId w:val="1"/>
        </w:numPr>
        <w:rPr/>
      </w:pPr>
      <w:r>
        <w:t>Start at the end of the path and work backwards.</w:t>
      </w:r>
    </w:p>
    <w:p>
      <w:pPr>
        <w:pStyle w:val="ListBullet"/>
        <w:numPr>
          <w:ilvl w:val="0"/>
          <w:numId w:val="1"/>
        </w:numPr>
        <w:rPr/>
      </w:pPr>
      <w:r>
        <w:t>Skip wrapper directories.</w:t>
      </w:r>
    </w:p>
    <w:p>
      <w:pPr>
        <w:pStyle w:val="Heading2"/>
        <w:rPr/>
      </w:pPr>
      <w:r>
        <w:t>7.4 Artist from String1</w:t>
      </w:r>
    </w:p>
    <w:p>
      <w:pPr>
        <w:pStyle w:val="ListBullet"/>
        <w:numPr>
          <w:ilvl w:val="0"/>
          <w:numId w:val="1"/>
        </w:numPr>
        <w:rPr/>
      </w:pPr>
      <w:r>
        <w:t>If the artist is not already identified and there is one pattern match, extract String1.</w:t>
      </w:r>
    </w:p>
    <w:p>
      <w:pPr>
        <w:pStyle w:val="ListBullet"/>
        <w:numPr>
          <w:ilvl w:val="0"/>
          <w:numId w:val="1"/>
        </w:numPr>
        <w:rPr/>
      </w:pPr>
      <w:r>
        <w:t>Strip leading/trailing whitespace, leading/trailing dashes, leading the, leading A, trailing , a, trailing ,A, trailing , the, and trailing ,the.</w:t>
      </w:r>
    </w:p>
    <w:p>
      <w:pPr>
        <w:pStyle w:val="ListBullet"/>
        <w:numPr>
          <w:ilvl w:val="0"/>
          <w:numId w:val="1"/>
        </w:numPr>
        <w:rPr/>
      </w:pPr>
      <w:r>
        <w:t>Article stripping must be case-insensitive for a and the.</w:t>
      </w:r>
    </w:p>
    <w:p>
      <w:pPr>
        <w:pStyle w:val="ListBullet"/>
        <w:numPr>
          <w:ilvl w:val="0"/>
          <w:numId w:val="1"/>
        </w:numPr>
        <w:rPr/>
      </w:pPr>
      <w:r>
        <w:t>Search the Artist DB for the stripped value. If matched, record the master value as the artist.</w:t>
      </w:r>
    </w:p>
    <w:p>
      <w:pPr>
        <w:pStyle w:val="ListBullet"/>
        <w:numPr>
          <w:ilvl w:val="0"/>
          <w:numId w:val="1"/>
        </w:numPr>
        <w:rPr/>
      </w:pPr>
      <w:r>
        <w:t>If there is more than one String1 Date String2 pattern match in the overall path, search the Artist DB for each String1 and compare results.</w:t>
      </w:r>
    </w:p>
    <w:p>
      <w:pPr>
        <w:pStyle w:val="ListBullet"/>
        <w:numPr>
          <w:ilvl w:val="0"/>
          <w:numId w:val="1"/>
        </w:numPr>
        <w:rPr/>
      </w:pPr>
      <w:r>
        <w:t>If all String1 values resolve to the same artist, confirm that artist.</w:t>
      </w:r>
    </w:p>
    <w:p>
      <w:pPr>
        <w:pStyle w:val="ListBullet"/>
        <w:numPr>
          <w:ilvl w:val="0"/>
          <w:numId w:val="1"/>
        </w:numPr>
        <w:rPr/>
      </w:pPr>
      <w:r>
        <w:t>If they resolve to different artists, record an artist conflict, mark the path unresolved, and leave the artist blank.</w:t>
      </w:r>
    </w:p>
    <w:p>
      <w:pPr>
        <w:pStyle w:val="ListBullet"/>
      </w:pPr>
      <w:r>
        <w:t>For non-compliant DB-backed path-artist fallback, exact whole-component lookup remains the first test. If an exact component does not resolve, also try a simple Last, First reversal for a component containing one comma, so Ellington, Duke may resolve as Duke Ellington.</w:t>
      </w:r>
    </w:p>
    <w:p>
      <w:pPr>
        <w:pStyle w:val="ListBullet"/>
      </w:pPr>
      <w:r>
        <w:t>If exact and Last, First reversal do not resolve the component, search the component for the longest Artist-DB-backed artist phrase. This permits a descriptive folder such as Duke Ellington, Unissued recordings by Danish Radio 1957-70 to identify Duke Ellington without treating arbitrary unmatched substrings as artists. Artist collisions discovered by these DB-backed path checks must retain the normal conflict behavior.</w:t>
      </w:r>
    </w:p>
    <w:p>
      <w:pPr>
        <w:pStyle w:val="Heading2"/>
        <w:rPr/>
      </w:pPr>
      <w:r>
        <w:t>7.5 Abbreviation Handling for String1</w:t>
      </w:r>
    </w:p>
    <w:p>
      <w:pPr>
        <w:pStyle w:val="ListBullet"/>
        <w:numPr>
          <w:ilvl w:val="0"/>
          <w:numId w:val="1"/>
        </w:numPr>
        <w:rPr/>
      </w:pPr>
      <w:r>
        <w:t>In non-compliant mode, a short String1 directly adjacent to the date with no whitespace is weak artist-abbreviation evidence, not a primary artist identification. This includes the short prefixes commonly mirrored at the front of traded-music filenames, such as gd in gd1977-05-08....</w:t>
      </w:r>
    </w:p>
    <w:p>
      <w:pPr>
        <w:pStyle w:val="ListBullet"/>
        <w:numPr>
          <w:ilvl w:val="0"/>
          <w:numId w:val="1"/>
        </w:numPr>
        <w:rPr/>
      </w:pPr>
      <w:r>
        <w:t>The path component containing the String1Date or String1DateString2 abbreviation match must be excluded both from the pre-abbreviation path-artist check and from the ordinary subdirectory artist scan so the same short prefix cannot be rediscovered and promoted as independent path evidence.</w:t>
      </w:r>
    </w:p>
    <w:p>
      <w:pPr>
        <w:pStyle w:val="ListBullet"/>
        <w:numPr>
          <w:ilvl w:val="0"/>
          <w:numId w:val="1"/>
        </w:numPr>
        <w:rPr/>
      </w:pPr>
      <w:r>
        <w:t>Do not immediately resolve the short prefix as the artist. Allow stronger artist sources to complete first, including a usable DB-backed audio ARTIST/ALBUMARTIST tag, a full DB-backed artist elsewhere in the path, non-abbreviation path-pattern evidence, explicit selected-setlist artist metadata, DB-backed selected-setlist filename evidence, a usable deferred raw artist tag, and other structured artist fallbacks.</w:t>
      </w:r>
    </w:p>
    <w:p>
      <w:pPr>
        <w:pStyle w:val="ListBullet"/>
        <w:numPr>
          <w:ilvl w:val="0"/>
          <w:numId w:val="1"/>
        </w:numPr>
        <w:rPr/>
      </w:pPr>
      <w:r>
        <w:t>If stronger artist evidence identifies exactly one artist, use that artist and do not use the abbreviation. If stronger path evidence produces an incompatible artist collision/conflict, leave the artist unresolved and do not allow the abbreviation to override the conflict.</w:t>
      </w:r>
    </w:p>
    <w:p>
      <w:pPr>
        <w:pStyle w:val="ListBullet"/>
        <w:numPr>
          <w:ilvl w:val="0"/>
          <w:numId w:val="1"/>
        </w:numPr>
        <w:rPr/>
      </w:pPr>
      <w:r>
        <w:t>Only after the stronger local artist sources are exhausted may String1 be considered as the abbreviation fallback, and only if it has no internal whitespace, contains only alphabetic characters, is four characters or fewer, and is not mixed case.</w:t>
      </w:r>
    </w:p>
    <w:p>
      <w:pPr>
        <w:pStyle w:val="ListBullet"/>
        <w:numPr>
          <w:ilvl w:val="0"/>
          <w:numId w:val="1"/>
        </w:numPr>
        <w:rPr/>
      </w:pPr>
      <w:r>
        <w:t>For the final abbreviation fallback, search the Artist DB alias terms for String1. A short abbreviation prefix from a music filename is not itself promoted as a stronger artist source; music filenames remain available for date fallback according to the filename-date rules.</w:t>
      </w:r>
    </w:p>
    <w:p>
      <w:pPr>
        <w:pStyle w:val="ListBullet"/>
        <w:numPr>
          <w:ilvl w:val="0"/>
          <w:numId w:val="1"/>
        </w:numPr>
        <w:rPr/>
      </w:pPr>
      <w:r>
        <w:t>If the abbreviation resolves to exactly one master artist, use that master only as the final local artist fallback and record the evidence as low-confidence last-resort abbreviation evidence.</w:t>
      </w:r>
    </w:p>
    <w:p>
      <w:pPr>
        <w:pStyle w:val="ListBullet"/>
        <w:numPr>
          <w:ilvl w:val="0"/>
          <w:numId w:val="1"/>
        </w:numPr>
        <w:rPr/>
      </w:pPr>
      <w:r>
        <w:t>If the abbreviation resolves to multiple artists, record an artist collision and leave artist blank. If it does not resolve, leave artist identification to the normal unresolved-show behavior.</w:t>
      </w:r>
    </w:p>
    <w:p>
      <w:pPr>
        <w:pStyle w:val="ListBullet"/>
        <w:numPr>
          <w:ilvl w:val="0"/>
          <w:numId w:val="1"/>
        </w:numPr>
        <w:rPr/>
      </w:pPr>
      <w:r>
        <w:t>After selecting a last-resort abbreviation, if an exact yyyy-mm-dd date is available and eTreeDB and/or setlist.fm lookup is enabled, attempt the enabled artist/date lookup. A successful performance lookup is additional confirmation of the abbreviation and must be recorded in observations.</w:t>
      </w:r>
    </w:p>
    <w:p>
      <w:pPr>
        <w:pStyle w:val="ListBullet"/>
        <w:numPr>
          <w:ilvl w:val="0"/>
          <w:numId w:val="1"/>
        </w:numPr>
        <w:rPr/>
      </w:pPr>
      <w:r>
        <w:t>If no stronger local evidence or enabled online lookup confirms the abbreviation, the fallback artist may remain in use, but observations must explicitly state that the last-resort abbreviation remained unconfirmed.</w:t>
      </w:r>
    </w:p>
    <w:p>
      <w:pPr>
        <w:pStyle w:val="ListBullet"/>
        <w:numPr>
          <w:ilvl w:val="0"/>
          <w:numId w:val="1"/>
        </w:numPr>
        <w:rPr/>
      </w:pPr>
      <w:r>
        <w:t>Compliant mode uses the existing compliant path-pattern rules and is not changed by this non-compliant weak-abbreviation timing rule.</w:t>
      </w:r>
    </w:p>
    <w:p>
      <w:pPr>
        <w:pStyle w:val="Heading2"/>
        <w:rPr/>
      </w:pPr>
      <w:r>
        <w:t>7.6 Artist Cache</w:t>
      </w:r>
    </w:p>
    <w:p>
      <w:pPr>
        <w:pStyle w:val="ListBullet"/>
        <w:numPr>
          <w:ilvl w:val="0"/>
          <w:numId w:val="1"/>
        </w:numPr>
        <w:rPr/>
      </w:pPr>
      <w:r>
        <w:t>For each cached artist, store master name, abbreviations, and aliases.</w:t>
      </w:r>
    </w:p>
    <w:p>
      <w:pPr>
        <w:pStyle w:val="ListBullet"/>
        <w:numPr>
          <w:ilvl w:val="0"/>
          <w:numId w:val="1"/>
        </w:numPr>
        <w:rPr/>
      </w:pPr>
      <w:r>
        <w:t>Search order should be last artist match, then cache, then Artist DB.</w:t>
      </w:r>
    </w:p>
    <w:p>
      <w:pPr>
        <w:pStyle w:val="ListBullet"/>
        <w:numPr>
          <w:ilvl w:val="0"/>
          <w:numId w:val="1"/>
        </w:numPr>
        <w:rPr/>
      </w:pPr>
      <w:r>
        <w:t>The Artist DB is assumed immutable while the application is running; artist-cache correctness depends on no external edits to artists.sqlite during an active run.</w:t>
      </w:r>
    </w:p>
    <w:p>
      <w:pPr>
        <w:pStyle w:val="Heading2"/>
        <w:rPr/>
      </w:pPr>
      <w:r>
        <w:t>7.7 Date from Path (see Appendix E4)</w:t>
      </w:r>
    </w:p>
    <w:p>
      <w:pPr>
        <w:pStyle w:val="ListBullet"/>
        <w:numPr>
          <w:ilvl w:val="0"/>
          <w:numId w:val="1"/>
        </w:numPr>
        <w:rPr/>
      </w:pPr>
      <w:r>
        <w:t>Extract dates from path components using the same date rules.</w:t>
      </w:r>
    </w:p>
    <w:p>
      <w:pPr>
        <w:pStyle w:val="ListBullet"/>
        <w:numPr>
          <w:ilvl w:val="0"/>
          <w:numId w:val="1"/>
        </w:numPr>
        <w:rPr/>
      </w:pPr>
      <w:r>
        <w:t>If more than one date appears in different path components, normalize each date and compare normalized values.</w:t>
      </w:r>
    </w:p>
    <w:p>
      <w:pPr>
        <w:pStyle w:val="ListBullet"/>
        <w:numPr>
          <w:ilvl w:val="0"/>
          <w:numId w:val="1"/>
        </w:numPr>
        <w:rPr/>
      </w:pPr>
      <w:r>
        <w:t>If normalized dates differ, record a date conflict, save original date strings and normalized versions, and leave the show date blank.</w:t>
      </w:r>
    </w:p>
    <w:p>
      <w:pPr>
        <w:pStyle w:val="ListBullet"/>
        <w:numPr>
          <w:ilvl w:val="0"/>
          <w:numId w:val="1"/>
        </w:numPr>
        <w:rPr/>
      </w:pPr>
      <w:r>
        <w:t>If normalized dates agree, set the show date to the normalized date.</w:t>
      </w:r>
    </w:p>
    <w:p>
      <w:pPr>
        <w:pStyle w:val="ListBullet"/>
        <w:numPr>
          <w:ilvl w:val="0"/>
          <w:numId w:val="1"/>
        </w:numPr>
        <w:rPr/>
      </w:pPr>
      <w:r>
        <w:t>If a potential show date came from the music DATE tag, compare it with the path-derived date and apply the same conflict rules.</w:t>
      </w:r>
    </w:p>
    <w:p>
      <w:pPr>
        <w:pStyle w:val="Heading2"/>
        <w:rPr/>
      </w:pPr>
      <w:r>
        <w:t>7.8 String2 as Venue and Location</w:t>
      </w:r>
    </w:p>
    <w:p>
      <w:pPr>
        <w:pStyle w:val="ListBullet"/>
        <w:numPr>
          <w:ilvl w:val="0"/>
          <w:numId w:val="1"/>
        </w:numPr>
        <w:rPr/>
      </w:pPr>
      <w:r>
        <w:t>Treat String2 as a combination of venue and location.</w:t>
      </w:r>
    </w:p>
    <w:p>
      <w:pPr>
        <w:pStyle w:val="ListBullet"/>
        <w:numPr>
          <w:ilvl w:val="0"/>
          <w:numId w:val="1"/>
        </w:numPr>
        <w:rPr/>
      </w:pPr>
      <w:r>
        <w:t>Strip parenthetical items from the end of String2, cache all stripped parenthetical items in their original left-to-right order, then strip trailing whitespace.</w:t>
      </w:r>
    </w:p>
    <w:p>
      <w:pPr>
        <w:pStyle w:val="ListBullet"/>
        <w:numPr>
          <w:ilvl w:val="0"/>
          <w:numId w:val="1"/>
        </w:numPr>
        <w:rPr/>
      </w:pPr>
      <w:r>
        <w:t>Save all captured parentheticals as a single string in the metadata field PARENTHETICALS, separated by one space and preserved in their original order. Merge folder-, String2-, and lookup-derived items without duplicate parenthetical groups.</w:t>
      </w:r>
    </w:p>
    <w:p>
      <w:pPr>
        <w:pStyle w:val="Heading2"/>
        <w:rPr/>
      </w:pPr>
      <w:r>
        <w:t>7.9 Country Detection (see Appendix E5)</w:t>
      </w:r>
    </w:p>
    <w:p>
      <w:pPr>
        <w:pStyle w:val="ListBullet"/>
        <w:numPr>
          <w:ilvl w:val="0"/>
          <w:numId w:val="1"/>
        </w:numPr>
        <w:rPr/>
      </w:pPr>
      <w:r>
        <w:t>Search the end of stripped String2 for a valid country name or country alias from Appendix E5.</w:t>
      </w:r>
    </w:p>
    <w:p>
      <w:pPr>
        <w:pStyle w:val="ListBullet"/>
        <w:numPr>
          <w:ilvl w:val="0"/>
          <w:numId w:val="1"/>
        </w:numPr>
        <w:rPr/>
      </w:pPr>
      <w:r>
        <w:t>If a country is found, first check whether the text immediately before the country contains a state, province, or region anchor. For U.S. country aliases, city + state + country forms such as Austin Texas USA, Austin, Texas U.S., Marina Del Rey, California USA, and New York, New York U.S.A. must normalize to City + StateCode, with USA not printed in the show name.</w:t>
      </w:r>
    </w:p>
    <w:p>
      <w:pPr>
        <w:pStyle w:val="ListBullet"/>
        <w:numPr>
          <w:ilvl w:val="0"/>
          <w:numId w:val="1"/>
        </w:numPr>
        <w:rPr/>
      </w:pPr>
      <w:r>
        <w:t>The venue is whatever remains before the city.</w:t>
      </w:r>
    </w:p>
    <w:p>
      <w:pPr>
        <w:pStyle w:val="ListBullet"/>
        <w:numPr>
          <w:ilvl w:val="0"/>
          <w:numId w:val="1"/>
        </w:numPr>
        <w:rPr/>
      </w:pPr>
      <w:r>
        <w:t>For non-U.S. countries, city + region/province + country forms should be parsed when the region/province is explicit, especially comma-separated forms such as Sydney, New South Wales Australia or Melbourne, Victoria Australia. Canadian postal region abbreviations AB, BC, MB, NB, NL, NS, NT, NU, ON, PE, QC, SK, and YT are built-in location anchors, as are their full province/territory names. Newly inferred Canadian two-letter abbreviations are case-sensitive and must be uppercase so ordinary words such as on are not reinterpreted as Ontario. Store Canada as the country when the Canadian code/name is unambiguous or when Canada is explicit; NT remains a recognized region code but does not by itself infer a country because NT is also used for Australia's Northern Territory. If no region/province is present, continue to treat the text immediately before the country as the city.</w:t>
      </w:r>
    </w:p>
    <w:p>
      <w:pPr>
        <w:pStyle w:val="Heading2"/>
        <w:rPr/>
      </w:pPr>
      <w:r>
        <w:t>7.10 Multi-Part City Adjustment</w:t>
      </w:r>
    </w:p>
    <w:p>
      <w:pPr>
        <w:pStyle w:val="ListBullet"/>
        <w:numPr>
          <w:ilvl w:val="0"/>
          <w:numId w:val="1"/>
        </w:numPr>
        <w:rPr/>
      </w:pPr>
      <w:r>
        <w:t>If the venue appears to end with the first part of a multi-part city name, move that trailing venue word or phrase to the beginning of the city.</w:t>
      </w:r>
    </w:p>
    <w:p>
      <w:pPr>
        <w:pStyle w:val="ListBullet"/>
        <w:numPr>
          <w:ilvl w:val="0"/>
          <w:numId w:val="1"/>
        </w:numPr>
        <w:rPr/>
      </w:pPr>
      <w:r>
        <w:t>The authoritative multi-part city prefix list is Appendix E5. Section 7.10 must not maintain a separate inline list that can drift from the code-derived Appendix E5 list.</w:t>
      </w:r>
    </w:p>
    <w:p>
      <w:pPr>
        <w:pStyle w:val="Heading2"/>
        <w:rPr/>
      </w:pPr>
      <w:r>
        <w:t>7.11 State Detection (see Appendix E5)</w:t>
      </w:r>
    </w:p>
    <w:p>
      <w:pPr>
        <w:pStyle w:val="ListBullet"/>
        <w:numPr>
          <w:ilvl w:val="0"/>
          <w:numId w:val="1"/>
        </w:numPr>
        <w:rPr/>
      </w:pPr>
      <w:r>
        <w:t>If no country is found, search for U.S. state abbreviations and full U.S. state names from Appendix E5.</w:t>
      </w:r>
    </w:p>
    <w:p>
      <w:pPr>
        <w:pStyle w:val="ListBullet"/>
        <w:numPr>
          <w:ilvl w:val="0"/>
          <w:numId w:val="1"/>
        </w:numPr>
        <w:rPr/>
      </w:pPr>
      <w:r>
        <w:t>Search two-letter state abbreviations first when present, then search full state names and longer state aliases. When a two-letter U.S. state code is also an ordinary/common short word, uppercase remains the default for newly inferred free-form path/String2 text: IN means Indiana but mixed/title-case in/In does not; OR means Oregon but or/Or does not; ME means Maine but me/Me does not. The guarded common/noisy U.S. set is CO, DE, HI, ID, IN, LA, MA, ME, MO, OH, OK, OR, and PA. One path-only exception applies: an exact lowercase code may be accepted when the entire path-derived location fragment is consistently lowercase and the additional structure/noise safeguards are satisfied; common/word-like codes require a comma immediately before the code or both a venue and city. Mixed-case fragments and selected-setlist/free-form metadata do not receive this relaxation. Non-common U.S. postal codes retain existing compatibility behavior. Full state names and longer aliases may be matched case-insensitively.</w:t>
      </w:r>
    </w:p>
    <w:p>
      <w:pPr>
        <w:pStyle w:val="ListBullet"/>
        <w:numPr>
          <w:ilvl w:val="0"/>
          <w:numId w:val="1"/>
        </w:numPr>
        <w:rPr/>
      </w:pPr>
      <w:r>
        <w:t>A recognized U.S. state or Canadian province/territory code or full region name must appear at the very end of String2, or immediately before a trailing source/recording tail separated by whitespace, comma, or dash, to count as a state/location match. Newly inferred Canadian two-letter codes and common/noisy U.S. codes are uppercase by default; the only lowercase exception is the guarded, consistently-lowercase non-compliant path-derived location rule in the preceding paragraph. Selected-setlist/free-form metadata remains uppercase-only for these codes.</w:t>
      </w:r>
    </w:p>
    <w:p>
      <w:pPr>
        <w:pStyle w:val="ListBullet"/>
        <w:numPr>
          <w:ilvl w:val="0"/>
          <w:numId w:val="1"/>
        </w:numPr>
        <w:rPr/>
      </w:pPr>
      <w:r>
        <w:t>If found, normalize the region to its two-letter code and treat it like a country/location anchor: city immediately before the region and venue before the city. U.S. state codes keep the existing U.S. location behavior. Canadian codes retain the province/territory code in Region and infer Country=Canada when unambiguous or explicitly supplied. When the left side is a short location-only phrase before a full region name, keep that phrase as city and leave venue blank.</w:t>
      </w:r>
    </w:p>
    <w:p>
      <w:pPr>
        <w:pStyle w:val="ListBullet"/>
        <w:numPr>
          <w:ilvl w:val="0"/>
          <w:numId w:val="1"/>
        </w:numPr>
        <w:rPr/>
      </w:pPr>
      <w:r>
        <w:t>If no state is found in an allowed state-anchor position, leave venue and location blank.</w:t>
      </w:r>
    </w:p>
    <w:p>
      <w:pPr>
        <w:pStyle w:val="ListBullet"/>
        <w:numPr>
          <w:ilvl w:val="0"/>
          <w:numId w:val="1"/>
        </w:numPr>
        <w:rPr/>
      </w:pPr>
      <w:r>
        <w:t>Special case NYC or nyc: City is New York, State is NY, and Venue immediately precedes NYC.</w:t>
      </w:r>
    </w:p>
    <w:p>
      <w:pPr>
        <w:pStyle w:val="ListBullet"/>
        <w:numPr>
          <w:ilvl w:val="0"/>
          <w:numId w:val="1"/>
        </w:numPr>
        <w:rPr/>
      </w:pPr>
      <w:r>
        <w:t>Special case NOLA or nola: City is New Orleans, State is LA, and Venue immediately precedes NOLA.</w:t>
      </w:r>
    </w:p>
    <w:p>
      <w:pPr>
        <w:pStyle w:val="ListBullet"/>
        <w:numPr>
          <w:ilvl w:val="0"/>
          <w:numId w:val="1"/>
        </w:numPr>
        <w:rPr/>
      </w:pPr>
      <w:r>
        <w:t>A trailing LA state abbreviation must remain Louisiana. Do not convert LA to Los Angeles while detecting state/region values.</w:t>
      </w:r>
    </w:p>
    <w:p>
      <w:pPr>
        <w:pStyle w:val="ListBullet"/>
        <w:numPr>
          <w:ilvl w:val="0"/>
          <w:numId w:val="1"/>
        </w:numPr>
        <w:rPr/>
      </w:pPr>
      <w:r>
        <w:t>When a valid state anchor is immediately followed by an allowed trailing source/recording/descriptor tail, preserve the text after the state as one PARENTHETICAL after stripping leading whitespace, commas, and dashes. A two-letter code in this non-terminal position must be uppercase in the source text; ordinary title/prose words such as In must not be interpreted as IN. Full state names/long aliases remain case-insensitive. If the text before the state cannot produce a valid city/venue split, reject the state-tail interpretation rather than returning a state alone.</w:t>
      </w:r>
    </w:p>
    <w:p>
      <w:pPr>
        <w:pStyle w:val="Heading2"/>
        <w:rPr/>
      </w:pPr>
      <w:r>
        <w:t>7.12 Retry with String1 Date</w:t>
      </w:r>
    </w:p>
    <w:p>
      <w:pPr>
        <w:pStyle w:val="ListBullet"/>
        <w:numPr>
          <w:ilvl w:val="0"/>
          <w:numId w:val="1"/>
        </w:numPr>
        <w:rPr/>
      </w:pPr>
      <w:r>
        <w:t>If the artist has not been identified and String1 Date String2 is not found, retry with String1 Date.</w:t>
      </w:r>
    </w:p>
    <w:p>
      <w:pPr>
        <w:pStyle w:val="ListBullet"/>
        <w:numPr>
          <w:ilvl w:val="0"/>
          <w:numId w:val="1"/>
        </w:numPr>
        <w:rPr/>
      </w:pPr>
      <w:r>
        <w:t>In this case, venue and location are blank.</w:t>
      </w:r>
    </w:p>
    <w:p>
      <w:pPr>
        <w:pStyle w:val="ListBullet"/>
        <w:numPr>
          <w:ilvl w:val="0"/>
          <w:numId w:val="1"/>
        </w:numPr>
        <w:rPr/>
      </w:pPr>
      <w:r>
        <w:t>Perform this second check while each subdirectory is still in hand, but do not stop searching for the original String1 Date String2 pattern until all subdirectories have been processed.</w:t>
      </w:r>
    </w:p>
    <w:p>
      <w:pPr>
        <w:pStyle w:val="ListBullet"/>
        <w:numPr>
          <w:ilvl w:val="0"/>
          <w:numId w:val="1"/>
        </w:numPr>
        <w:rPr/>
      </w:pPr>
      <w:r>
        <w:t>If a retry match is found, keep note of it for later use.</w:t>
      </w:r>
    </w:p>
    <w:p>
      <w:pPr>
        <w:pStyle w:val="Heading2"/>
        <w:rPr/>
      </w:pPr>
      <w:r>
        <w:t>7.13 Artist from Subdirectory Name</w:t>
      </w:r>
    </w:p>
    <w:p>
      <w:pPr>
        <w:pStyle w:val="ListBullet"/>
        <w:numPr>
          <w:ilvl w:val="0"/>
          <w:numId w:val="1"/>
        </w:numPr>
        <w:rPr/>
      </w:pPr>
      <w:r>
        <w:t>If neither String1 Date String2 nor String1 Date matches a subdirectory, and the subdirectory is not a pure number, a single character, or a wrapper directory, look it up in the Artist DB. For a date-bearing path component, generic partial artist scanning must reject a DB artist phrase found entirely inside the parsed venue, city, region, or country tail. Thus Attic inside Eddie's Attic is venue text, while an exact path component named Attic remains eligible as an artist directory.</w:t>
      </w:r>
    </w:p>
    <w:p>
      <w:pPr>
        <w:pStyle w:val="ListBullet"/>
      </w:pPr>
      <w:r>
        <w:t>Before generic partial-artist scanning, recognize the non-compliant Date Artist Venue Location path pattern when the date begins the path component.</w:t>
      </w:r>
    </w:p>
    <w:p>
      <w:pPr>
        <w:pStyle w:val="ListBullet"/>
      </w:pPr>
      <w:r>
        <w:t>The Artist must be the longest unique Artist DB match anchored immediately after the leading date. An Artist DB term found later in the component is not eligible for this pattern, and an ambiguous Artist DB result must remain unresolved.</w:t>
      </w:r>
    </w:p>
    <w:p>
      <w:pPr>
        <w:pStyle w:val="ListBullet"/>
      </w:pPr>
      <w:r>
        <w:t>After removing the matched Artist, parse only the remainder as String2. A venue must remain after removing the Artist, and the remainder must also parse into City plus Region or Country; otherwise reject the pattern and continue with the ordinary evidence process.</w:t>
      </w:r>
    </w:p>
    <w:p>
      <w:pPr>
        <w:pStyle w:val="ListBullet"/>
      </w:pPr>
      <w:r>
        <w:t>Example: 1997-04-05 Genesis Old Pub London England resolves to Artist Genesis, Date 1997-04-05, Venue Old Pub, and Location London, England. In contrast, 1990-07-10 Palace Melbourne Australia must not use this pattern because removing Palace leaves only City and Country and no venue.</w:t>
      </w:r>
    </w:p>
    <w:p>
      <w:pPr>
        <w:pStyle w:val="ListBullet"/>
        <w:numPr>
          <w:ilvl w:val="0"/>
          <w:numId w:val="1"/>
        </w:numPr>
        <w:rPr/>
      </w:pPr>
      <w:r>
        <w:t>If matched, set the artist to the master name.</w:t>
      </w:r>
    </w:p>
    <w:p>
      <w:pPr>
        <w:pStyle w:val="ListBullet"/>
        <w:numPr>
          <w:ilvl w:val="0"/>
          <w:numId w:val="1"/>
        </w:numPr>
        <w:rPr/>
      </w:pPr>
      <w:r>
        <w:t>When walking back up the tree, compare each subdirectory artist match with any artist identified from String1 Date String2.</w:t>
      </w:r>
    </w:p>
    <w:p>
      <w:pPr>
        <w:pStyle w:val="ListBullet"/>
        <w:numPr>
          <w:ilvl w:val="0"/>
          <w:numId w:val="1"/>
        </w:numPr>
        <w:rPr/>
      </w:pPr>
      <w:r>
        <w:t>It is acceptable if the subdirectory artist match is a subset of the previously identified artist.</w:t>
      </w:r>
    </w:p>
    <w:p>
      <w:pPr>
        <w:pStyle w:val="ListBullet"/>
        <w:numPr>
          <w:ilvl w:val="0"/>
          <w:numId w:val="1"/>
        </w:numPr>
        <w:rPr/>
      </w:pPr>
      <w:r>
        <w:t>If names do not have a set/subset relationship, mark the show as in conflict and leave the artist blank.</w:t>
      </w:r>
    </w:p>
    <w:p>
      <w:pPr>
        <w:pStyle w:val="ListBullet"/>
        <w:numPr>
          <w:ilvl w:val="0"/>
          <w:numId w:val="1"/>
        </w:numPr>
        <w:rPr/>
      </w:pPr>
      <w:r>
        <w:t>A longer matching term outweighs a shorter matching term. No voting/tally mechanism is used to override that ordered matching rule.</w:t>
      </w:r>
    </w:p>
    <w:p>
      <w:pPr>
        <w:pStyle w:val="Heading2"/>
        <w:rPr/>
      </w:pPr>
      <w:r>
        <w:t>7.13A Guarded Artist Place Date Technical-Suffix Fallback</w:t>
      </w:r>
    </w:p>
    <w:p>
      <w:pPr>
        <w:pStyle w:val="ListBullet"/>
        <w:numPr>
          <w:ilvl w:val="0"/>
          <w:numId w:val="1"/>
        </w:numPr>
        <w:rPr/>
      </w:pPr>
      <w:r>
        <w:t>After the ordinary String1 Date String2 artist lookup and the Date Artist Venue Location pattern have had their normal opportunity to resolve the path, non-compliant mode may recognize a narrowly gated Artist + Place + Date + TechnicalSuffix component. This fallback exists for traded-show folders such as RTF Paris 7 March 76 flac16 and Todd Snider Skipper's Smokehouse, Tampa, FL 2005-04-16 sdb, and must not broaden or replace the ordinary String1 Date String2 parser. This guarded fallback is non-compliant only; Compliant mode is unchanged.</w:t>
      </w:r>
    </w:p>
    <w:p>
      <w:pPr>
        <w:pStyle w:val="ListBullet"/>
        <w:numPr>
          <w:ilvl w:val="0"/>
          <w:numId w:val="1"/>
        </w:numPr>
        <w:rPr/>
      </w:pPr>
      <w:r>
        <w:t>The Artist portion must be a direct, unique Artist DB match for a prefix at the beginning of the same path component. Alias/abbreviation terms already present in artists.sqlite are eligible. TLO must not construct, infer, or guess an initialism from another artist name. If RTF is not represented in the Artist DB, this fallback does not manufacture Return to Forever from those initials.</w:t>
      </w:r>
    </w:p>
    <w:p>
      <w:pPr>
        <w:pStyle w:val="ListBullet"/>
        <w:numPr>
          <w:ilvl w:val="0"/>
          <w:numId w:val="1"/>
        </w:numPr>
        <w:rPr/>
      </w:pPr>
      <w:r>
        <w:t>The Date must be recognized by the existing date parser. Text after the Date must be fully accounted for by existing recognized metadata: either media/source technical tokens such as flac, flac16, flac24, shn, wav, 16-bit, 24-bit, SBD, AUD, FM, matrix, soundboard, or audience, or one existing terminal performance qualifier such as Set 1, Early Show, Late Show, Soundcheck, or Rehearsal. The literal SDB spelling is accepted only inside this guarded fallback as a compatibility spelling of a source/technical tail; it does not create or alter qualifier metadata. Ordinary title text after the Date does not activate this fallback.</w:t>
      </w:r>
    </w:p>
    <w:p>
      <w:pPr>
        <w:pStyle w:val="ListBullet"/>
        <w:numPr>
          <w:ilvl w:val="0"/>
          <w:numId w:val="1"/>
        </w:numPr>
        <w:rPr/>
      </w:pPr>
      <w:r>
        <w:t>Text between the DB-backed Artist and Date is a venue/location hint, not automatically authoritative metadata. Existing structured String2 parsing may immediately use state/country-anchored venue/location text, and an exact venues.txt match may be used as Venue. Otherwise only a single unanchored word may be retained as a low-confidence final location-text fallback, and only after eTreeDB, selected setlist metadata, and setlist.fm have all failed to provide stronger venue/location data. Unknown multi-word text must not be promoted to venue/location metadata. The fallback is all-or-nothing: if its Artist prefix or recognized post-date tail gate fails, it must not partially overwrite Artist, Venue, Location, Date, or Qualifier fields.</w:t>
      </w:r>
    </w:p>
    <w:p>
      <w:pPr>
        <w:pStyle w:val="ListBullet"/>
        <w:numPr>
          <w:ilvl w:val="0"/>
          <w:numId w:val="1"/>
        </w:numPr>
        <w:rPr/>
      </w:pPr>
      <w:r>
        <w:t>Examples: with RTF present as an Artist DB alias for Return to Forever, RTF Paris 7 March 76 flac16 resolves Artist Return to Forever and Date 1976-03-07. Todd Snider Skipper's Smokehouse, Tampa, FL 2005-04-16 sdb resolves Artist Todd Snider, Date 2005-04-16, Venue Skipper's Smokehouse, and Location Tampa, FL when Todd Snider is a direct unique Artist DB prefix match. A tail such as Set 1 is handled by the existing qualifier machinery. If stronger eTreeDB or selected-setlist venue/location metadata exists, that stronger metadata retains precedence.</w:t>
      </w:r>
    </w:p>
    <w:p>
      <w:pPr>
        <w:pStyle w:val="Heading2"/>
        <w:rPr/>
      </w:pPr>
      <w:r>
        <w:t>7.14 Date-Only Search (see Appendix E4)</w:t>
      </w:r>
    </w:p>
    <w:p>
      <w:pPr>
        <w:pStyle w:val="ListBullet"/>
        <w:numPr>
          <w:ilvl w:val="0"/>
          <w:numId w:val="1"/>
        </w:numPr>
        <w:rPr/>
      </w:pPr>
      <w:r>
        <w:t>If neither String1 Date String2 nor String1 Date matches, search all path subdirectories for a date.</w:t>
      </w:r>
    </w:p>
    <w:p>
      <w:pPr>
        <w:pStyle w:val="ListBullet"/>
        <w:numPr>
          <w:ilvl w:val="0"/>
          <w:numId w:val="1"/>
        </w:numPr>
        <w:rPr/>
      </w:pPr>
      <w:r>
        <w:t>If one date is found, use it as the show date.</w:t>
      </w:r>
    </w:p>
    <w:p>
      <w:pPr>
        <w:pStyle w:val="ListBullet"/>
        <w:numPr>
          <w:ilvl w:val="0"/>
          <w:numId w:val="1"/>
        </w:numPr>
        <w:rPr/>
      </w:pPr>
      <w:r>
        <w:t>If more than one date is found, normalize all dates before comparison. If they disagree, mark the show as having a date conflict.</w:t>
      </w:r>
    </w:p>
    <w:p>
      <w:pPr>
        <w:pStyle w:val="ListBullet"/>
        <w:numPr>
          <w:ilvl w:val="0"/>
          <w:numId w:val="1"/>
        </w:numPr>
        <w:rPr/>
      </w:pPr>
      <w:r>
        <w:t>Not finding the date elsewhere should be recorded as an observation, not a conflict.</w:t>
      </w:r>
    </w:p>
    <w:p>
      <w:pPr>
        <w:pStyle w:val="Heading2"/>
        <w:rPr/>
      </w:pPr>
      <w:r>
        <w:t>7.15 Date from Music Filenames (see Appendix E1 and Appendix E4)</w:t>
      </w:r>
    </w:p>
    <w:p>
      <w:pPr>
        <w:pStyle w:val="ListBullet"/>
        <w:numPr>
          <w:ilvl w:val="0"/>
          <w:numId w:val="1"/>
        </w:numPr>
        <w:rPr/>
      </w:pPr>
      <w:r>
        <w:t>If a date still has not been found, check music filenames for a date using all the same date patterns. Phase 1 is not required to log every music filename for this check; later stages may rescan the already-identified music directory when filename-date evidence is needed.</w:t>
      </w:r>
    </w:p>
    <w:p>
      <w:pPr>
        <w:pStyle w:val="ListBullet"/>
        <w:numPr>
          <w:ilvl w:val="0"/>
          <w:numId w:val="1"/>
        </w:numPr>
        <w:rPr/>
      </w:pPr>
      <w:r>
        <w:t>Music-filename dates must preserve the full recognized precision. A complete compact filename date such as 19981003 or 20020810 is normalized to 1998-10-03 or 2002-08-10 and must not be downgraded to yyyy-mm-xx merely because it came from a music filename.</w:t>
      </w:r>
    </w:p>
    <w:p>
      <w:pPr>
        <w:pStyle w:val="ListBullet"/>
        <w:numPr>
          <w:ilvl w:val="0"/>
          <w:numId w:val="1"/>
        </w:numPr>
        <w:rPr/>
      </w:pPr>
      <w:r>
        <w:t>If found, normalize complete filename dates to yyyy-mm-dd and partial filename dates to the appropriate yyyy-mm-xx or yyyy-xx-xx form, then save the normalized value as the date.</w:t>
      </w:r>
    </w:p>
    <w:p>
      <w:pPr>
        <w:pStyle w:val="Heading2"/>
        <w:rPr/>
      </w:pPr>
      <w:r>
        <w:t>7.16 Non-Compliant Date Conflict Preference and Setlist Date Fallback (see Appendix E4)</w:t>
      </w:r>
    </w:p>
    <w:p>
      <w:pPr>
        <w:pStyle w:val="ListBullet"/>
        <w:numPr>
          <w:ilvl w:val="0"/>
          <w:numId w:val="1"/>
        </w:numPr>
        <w:rPr/>
      </w:pPr>
      <w:r>
        <w:t>When multiple date candidates are identified in non-compliant mode, prefer a complete yyyy-mm-dd date over less-specified date candidates such as yyyy-mm-xx, yyyy-xx-xx, or month-year text such as November2020.</w:t>
      </w:r>
    </w:p>
    <w:p>
      <w:pPr>
        <w:pStyle w:val="ListBullet"/>
        <w:numPr>
          <w:ilvl w:val="0"/>
          <w:numId w:val="1"/>
        </w:numPr>
        <w:rPr/>
      </w:pPr>
      <w:r>
        <w:t>If exactly one complete date remains after normalization, use that complete date and ignore less-specified date candidates, even when both the complete date and the less-specified date appear in the path.</w:t>
      </w:r>
    </w:p>
    <w:p>
      <w:pPr>
        <w:pStyle w:val="ListBullet"/>
        <w:numPr>
          <w:ilvl w:val="0"/>
          <w:numId w:val="1"/>
        </w:numPr>
        <w:rPr/>
      </w:pPr>
      <w:r>
        <w:t>Example: if both 1997-11-05 and November2020 / 2020-11-xx are found, use 1997-11-05 and do not mark a date conflict.</w:t>
      </w:r>
    </w:p>
    <w:p>
      <w:pPr>
        <w:pStyle w:val="ListBullet"/>
        <w:numPr>
          <w:ilvl w:val="0"/>
          <w:numId w:val="1"/>
        </w:numPr>
        <w:rPr/>
      </w:pPr>
      <w:r>
        <w:t>If multiple complete dates or otherwise incompatible date candidates remain, treat that as a perceived date conflict and check the selected setlist file contents for a valid date before leaving the show in date conflict.</w:t>
      </w:r>
    </w:p>
    <w:p>
      <w:pPr>
        <w:pStyle w:val="ListBullet"/>
        <w:numPr>
          <w:ilvl w:val="0"/>
          <w:numId w:val="1"/>
        </w:numPr>
        <w:rPr/>
      </w:pPr>
      <w:r>
        <w:t>If a setlist-derived date validates exactly one of the conflicting candidates, use the most specific validated date, clear that date conflict, and record an observation explaining that the conflict was resolved from setlist contents.</w:t>
      </w:r>
    </w:p>
    <w:p>
      <w:pPr>
        <w:pStyle w:val="ListBullet"/>
        <w:numPr>
          <w:ilvl w:val="0"/>
          <w:numId w:val="1"/>
        </w:numPr>
        <w:rPr/>
      </w:pPr>
      <w:r>
        <w:t>If setlist-derived date evidence validates none of the conflicting candidates, or validates more than one incompatible candidate, retain the date conflict and leave the date blank.</w:t>
      </w:r>
    </w:p>
    <w:p>
      <w:pPr>
        <w:pStyle w:val="ListBullet"/>
        <w:numPr>
          <w:ilvl w:val="0"/>
          <w:numId w:val="1"/>
        </w:numPr>
        <w:rPr/>
      </w:pPr>
      <w:r>
        <w:t>If the existing non-compliant date methods do not produce any usable date and no unresolved date conflict remains, check only the selected setlist file metadata/header area for a valid date using the same date patterns. The setlist-date fallback must stop before the first true track-list line, checksum/hash line, or checksum/log section. It must not scan dates from song titles, lineage, verification logs, ffp/md5/st5/sfv/hash sections, or text after those boundaries.</w:t>
      </w:r>
    </w:p>
    <w:p>
      <w:pPr>
        <w:pStyle w:val="ListBullet"/>
        <w:numPr>
          <w:ilvl w:val="0"/>
          <w:numId w:val="1"/>
        </w:numPr>
        <w:rPr/>
      </w:pPr>
      <w:r>
        <w:t>When the selected setlist contains complete date evidence in an explicit metadata line, such as DATE: or VENUE:, and the only path/filename date candidate is a compatible year range, use the complete selected-setlist date instead of the range and record an observation explaining the override.</w:t>
      </w:r>
    </w:p>
    <w:p>
      <w:pPr>
        <w:pStyle w:val="ListBullet"/>
        <w:numPr>
          <w:ilvl w:val="0"/>
          <w:numId w:val="1"/>
        </w:numPr>
        <w:rPr/>
      </w:pPr>
      <w:r>
        <w:t>For setlist-date fallback and date-conflict validation, rank date evidence by context: explicit DATE: and VENUE: metadata lines first, concise header-like metadata lines next, and long prose/commentary paragraphs last. Broad collection or series ranges found in prose are only low-confidence range clues unless no better evidence exists.</w:t>
      </w:r>
    </w:p>
    <w:p>
      <w:pPr>
        <w:pStyle w:val="ListBullet"/>
        <w:numPr>
          <w:ilvl w:val="0"/>
          <w:numId w:val="1"/>
        </w:numPr>
        <w:rPr/>
      </w:pPr>
      <w:r>
        <w:t>For explicit VENUE: lines, scan the performance side before Air date, aired, broadcast, simulcast, or similar labels as date evidence. Dates after those broadcast labels are air/broadcast dates and must not be used as performance dates.</w:t>
      </w:r>
    </w:p>
    <w:p>
      <w:pPr>
        <w:pStyle w:val="ListBullet"/>
        <w:numPr>
          <w:ilvl w:val="0"/>
          <w:numId w:val="1"/>
        </w:numPr>
        <w:rPr/>
      </w:pPr>
      <w:r>
        <w:t>Do not use the setlist filename or setlist path as date metadata input for date conflict validation or setlist date fallback.</w:t>
      </w:r>
    </w:p>
    <w:p>
      <w:pPr>
        <w:pStyle w:val="ListBullet"/>
        <w:numPr>
          <w:ilvl w:val="0"/>
          <w:numId w:val="1"/>
        </w:numPr>
        <w:rPr/>
      </w:pPr>
      <w:r>
        <w:t>For aggregated groups with multiple source setlist files, collect one leading-content date candidate from each unique source setlist file and apply the same validation and conflict rules across those candidates.</w:t>
      </w:r>
    </w:p>
    <w:p>
      <w:pPr>
        <w:pStyle w:val="ListBullet"/>
        <w:numPr>
          <w:ilvl w:val="0"/>
          <w:numId w:val="1"/>
        </w:numPr>
        <w:rPr/>
      </w:pPr>
      <w:r>
        <w:t>If exactly one normalized setlist-derived fallback date remains, use it as the show date and record date evidence with a setlist_file source.</w:t>
      </w:r>
    </w:p>
    <w:p>
      <w:pPr>
        <w:pStyle w:val="Heading2"/>
        <w:rPr/>
      </w:pPr>
      <w:r>
        <w:t>7.17 Failure to Match Path Patterns</w:t>
      </w:r>
    </w:p>
    <w:p>
      <w:pPr>
        <w:pStyle w:val="ListBullet"/>
        <w:numPr>
          <w:ilvl w:val="0"/>
          <w:numId w:val="1"/>
        </w:numPr>
        <w:rPr/>
      </w:pPr>
      <w:r>
        <w:t>Failure to match String Date String or String Date should be recorded as an observation, not a conflict.</w:t>
      </w:r>
    </w:p>
    <w:p>
      <w:pPr>
        <w:pStyle w:val="ListBullet"/>
        <w:numPr>
          <w:ilvl w:val="0"/>
          <w:numId w:val="1"/>
        </w:numPr>
        <w:rPr/>
      </w:pPr>
      <w:r>
        <w:t>This failure must not prevent show-name creation if artist and date rules otherwise allow it.</w:t>
      </w:r>
    </w:p>
    <w:p>
      <w:pPr>
        <w:pStyle w:val="ListBullet"/>
        <w:numPr>
          <w:ilvl w:val="0"/>
          <w:numId w:val="1"/>
        </w:numPr>
        <w:rPr/>
      </w:pPr>
      <w:r>
        <w:t>If an artist name is found in the path, use it.</w:t>
      </w:r>
    </w:p>
    <w:p>
      <w:pPr>
        <w:pStyle w:val="ListBullet"/>
        <w:numPr>
          <w:ilvl w:val="0"/>
          <w:numId w:val="1"/>
        </w:numPr>
        <w:rPr/>
      </w:pPr>
      <w:r>
        <w:t>If different artist master names are found, record an artist conflict, do not populate the artist, and do not create a show name.</w:t>
      </w:r>
    </w:p>
    <w:p>
      <w:pPr>
        <w:pStyle w:val="ListBullet"/>
        <w:numPr>
          <w:ilvl w:val="0"/>
          <w:numId w:val="1"/>
        </w:numPr>
        <w:rPr/>
      </w:pPr>
      <w:r>
        <w:t>If date is blank and there is no date conflict, set Date to xxxx-xx-xx.</w:t>
      </w:r>
    </w:p>
    <w:p>
      <w:pPr>
        <w:pStyle w:val="ListBullet"/>
        <w:numPr>
          <w:ilvl w:val="0"/>
          <w:numId w:val="1"/>
        </w:numPr>
        <w:rPr/>
      </w:pPr>
      <w:r>
        <w:t>If an artist is identified and the date is non-blank, create the show name.</w:t>
      </w:r>
    </w:p>
    <w:p>
      <w:pPr>
        <w:pStyle w:val="Heading2"/>
        <w:rPr/>
      </w:pPr>
      <w:r>
        <w:t>7.18 Date String3 Pattern (see Appendix E4)</w:t>
      </w:r>
    </w:p>
    <w:p>
      <w:pPr>
        <w:pStyle w:val="ListBullet"/>
        <w:numPr>
          <w:ilvl w:val="0"/>
          <w:numId w:val="1"/>
        </w:numPr>
        <w:rPr/>
      </w:pPr>
      <w:r>
        <w:t>If a show has not yet been identified, check for Date String3.</w:t>
      </w:r>
    </w:p>
    <w:p>
      <w:pPr>
        <w:pStyle w:val="ListBullet"/>
        <w:numPr>
          <w:ilvl w:val="0"/>
          <w:numId w:val="1"/>
        </w:numPr>
        <w:rPr/>
      </w:pPr>
      <w:r>
        <w:t>If a valid date is found, normalize String3 using the usual rules for whitespace, the, a, and other standard normalization.</w:t>
      </w:r>
    </w:p>
    <w:p>
      <w:pPr>
        <w:pStyle w:val="ListBullet"/>
        <w:numPr>
          <w:ilvl w:val="0"/>
          <w:numId w:val="1"/>
        </w:numPr>
        <w:rPr/>
      </w:pPr>
      <w:r>
        <w:t>Check String3 against the Artist DB. If matched, record the master name as the artist and the identified date as the date.</w:t>
      </w:r>
    </w:p>
    <w:p>
      <w:pPr>
        <w:pStyle w:val="Heading2"/>
        <w:rPr/>
      </w:pPr>
      <w:r>
        <w:t>7.19 String1 - String2 Pattern</w:t>
      </w:r>
    </w:p>
    <w:p>
      <w:pPr>
        <w:pStyle w:val="ListBullet"/>
        <w:numPr>
          <w:ilvl w:val="0"/>
          <w:numId w:val="1"/>
        </w:numPr>
        <w:rPr/>
      </w:pPr>
      <w:r>
        <w:t>If String1 Date String2 is not found, check path subdirectories for String1 - String2 before treating String1 Date as the controlling fallback. Artist/Album separator may omit spaces on either or both sides only when the complete left side resolves uniquely in the Artist DB; split that first DB-confirmed dash only, preserve every later dash in String2, and do not relax unknown or ambiguous left sides. Example: Van Morrison-Saint Dominic's Preview-Hard Nose The Highway Live retains the second dash inside String2.</w:t>
      </w:r>
    </w:p>
    <w:p>
      <w:pPr/>
      <w:r>
        <w:t>Generic String1 - String2 is a fallback, not an immediate commercial-release conclusion. Preserve the explicit leading-year Artist - Album commercial-release form, but otherwise inspect String2 for a complete performance date, a supported partial date at a clear beginning/end boundary, and conservative state/country-anchored venue/location evidence before storing ALBUM_NAME. A partial date embedded inside album-like middle text remains insufficient to force performance mode.</w:t>
      </w:r>
    </w:p>
    <w:p>
      <w:pPr>
        <w:pStyle w:val="ListBullet"/>
        <w:numPr>
          <w:ilvl w:val="0"/>
          <w:numId w:val="1"/>
        </w:numPr>
        <w:rPr/>
      </w:pPr>
      <w:r>
        <w:t>Normalize String1 using the usual rules for whitespace, the, a, and other standard normalization.</w:t>
      </w:r>
    </w:p>
    <w:p>
      <w:pPr>
        <w:pStyle w:val="ListBullet"/>
        <w:numPr>
          <w:ilvl w:val="0"/>
          <w:numId w:val="1"/>
        </w:numPr>
        <w:rPr/>
      </w:pPr>
      <w:r>
        <w:t>Check String1 against the Artist DB. If matched, record the master name as the artist.</w:t>
      </w:r>
    </w:p>
    <w:p>
      <w:pPr>
        <w:pStyle w:val="ListBullet"/>
        <w:numPr>
          <w:ilvl w:val="0"/>
          <w:numId w:val="1"/>
        </w:numPr>
        <w:rPr/>
      </w:pPr>
      <w:r>
        <w:t>If String1 does not match the Artist DB and does not collide with multiple DB artists, check the rest of the subdirectories in the path for a valid Artist DB match before assuming String1 as the artist.</w:t>
      </w:r>
    </w:p>
    <w:p>
      <w:pPr>
        <w:pStyle w:val="ListBullet"/>
        <w:numPr>
          <w:ilvl w:val="0"/>
          <w:numId w:val="1"/>
        </w:numPr>
        <w:rPr/>
      </w:pPr>
      <w:r>
        <w:t>If a valid artist is found elsewhere in the path, use that DB master artist for the show and record an observation/evidence entry that the artist came from another path subdirectory.</w:t>
      </w:r>
    </w:p>
    <w:p>
      <w:pPr>
        <w:pStyle w:val="ListBullet"/>
        <w:numPr>
          <w:ilvl w:val="0"/>
          <w:numId w:val="1"/>
        </w:numPr>
        <w:rPr/>
      </w:pPr>
      <w:r>
        <w:t>If no valid artist is found anywhere else in the path, use String1 as the artist and record an observation/evidence entry that the artist was assumed from String1.</w:t>
      </w:r>
    </w:p>
    <w:p>
      <w:pPr>
        <w:pStyle w:val="ListBullet"/>
        <w:numPr>
          <w:ilvl w:val="0"/>
          <w:numId w:val="1"/>
        </w:numPr>
        <w:rPr/>
      </w:pPr>
      <w:r>
        <w:t>If String1 collides with multiple Artist DB masters, record an artist conflict, leave artist blank, and do not create the show name from this fallback.</w:t>
      </w:r>
    </w:p>
    <w:p>
      <w:pPr>
        <w:pStyle w:val="ListBullet"/>
        <w:numPr>
          <w:ilvl w:val="0"/>
          <w:numId w:val="1"/>
        </w:numPr>
        <w:rPr/>
      </w:pPr>
      <w:r>
        <w:t>For an ordinary non-compliant String1 - String2 match, inspect String2 before using the album fallback. First extract a complete valid performance date when present. Also accept a supported normalized partial date when it occurs at the beginning or end of String2; partial dates embedded in the middle of album-like text must not trigger performance mode. After removing the accepted date, trim the surrounding dash separators and apply the conservative String2 venue/location parser. A state/country-anchored location with no unexplained trailing text is strong enough to establish venue/location evidence. If an accepted date or strong venue/location evidence is found, continue normal performance metadata processing and do not enter album mode. Example: Ray Price - Gilley's - Pasadena, Texas - xx-xx-81 must normalize Date to 1981-xx-xx, resolve Venue Gilley's and Location Pasadena, TX, and build Show Ray Price 1981-xx-xx Gilley's Pasadena, TX rather than treating the entire tail as an album title. Only when no such performance evidence is found may String2 be stored as ALBUM_NAME under the generic Artist - Album fallback.</w:t>
      </w:r>
    </w:p>
    <w:p>
      <w:pPr>
        <w:pStyle w:val="ListBullet"/>
      </w:pPr>
      <w:r>
        <w:t>Commercial-release year form: in non-compliant mode, recognize only a leading four-digit 19xx or 20xx year that is either enclosed in parentheses or is the complete first dash-delimited component, followed by Artist - Album. Examples: (1991) - Rod Stewart - Vagabond Heart and 1995 - Rod Stewart - A Spanner In The Works. The release year is classification evidence only: do not assign it to DATE and do not include it in SHOW_NAME. Resolve the middle Artist component normally and use only the Album component as ALBUM_NAME.</w:t>
      </w:r>
    </w:p>
    <w:p>
      <w:pPr>
        <w:pStyle w:val="ListBullet"/>
      </w:pPr>
      <w:r>
        <w:t>The commercial-release year rule must not accept complete or partial dates, year ranges, two-digit years, x-filled years, or a four-digit year embedded inside another component. Examples that are not commercial-release year forms include 1991-06-29 - Artist - Album, (1991-06-29) - Artist - Album, 1991-1998 - Artist - Album, and Album 1991 - Artist - Tail.</w:t>
      </w:r>
    </w:p>
    <w:p>
      <w:pPr>
        <w:pStyle w:val="ListBullet"/>
      </w:pPr>
      <w:r>
        <w:t>For any non-compliant String1 - String2 album fallback, if the album tail begins with an exact repeat of the resolved Artist followed by the dash separator, remove that one redundant Artist component before storing ALBUM_NAME and building SHOW_NAME. Matching is case-insensitive and whitespace-normalized, and must remove only a complete leading Artist component. Example: resolved Artist Rod Stewart plus String2 Rod Stewart - Camouflage produces ALBUM_NAME Camouflage and SHOW_NAME Rod Stewart - Camouflage.</w:t>
      </w:r>
    </w:p>
    <w:p>
      <w:pPr>
        <w:pStyle w:val="ListBullet"/>
        <w:numPr>
          <w:ilvl w:val="0"/>
          <w:numId w:val="1"/>
        </w:numPr>
        <w:rPr/>
      </w:pPr>
      <w:r>
        <w:t>If String2 is date-like and consumes the full String2 value, such as Artist - 2010-08-01, Artist - 20100801, or equivalent valid separated/compact date text, treat String2 as the show date rather than as ALBUM_NAME. Normalize the date and continue normal non-compliant metadata processing, including selected-setlist explicit label extraction. Do not assign xxxx-xx-xx merely because a true album-style String1 - String2 fallback has no date.</w:t>
      </w:r>
    </w:p>
    <w:p>
      <w:pPr>
        <w:pStyle w:val="ListBullet"/>
        <w:numPr>
          <w:ilvl w:val="0"/>
          <w:numId w:val="1"/>
        </w:numPr>
        <w:rPr/>
      </w:pPr>
      <w:r>
        <w:t>When the non-compliant group was formed from exact wrapper part folders under a String1 - String2 parent directory, use the parent String1 - String2 directory as the logical release name. Example: Jayhawks - Big Release/CD1, /CD2, and /CD3 resolve to one show named Jayhawks - Big Release.</w:t>
      </w:r>
    </w:p>
    <w:p>
      <w:pPr>
        <w:pStyle w:val="ListBullet"/>
        <w:numPr>
          <w:ilvl w:val="0"/>
          <w:numId w:val="1"/>
        </w:numPr>
        <w:rPr/>
      </w:pPr>
      <w:r>
        <w:t>When the non-compliant group was formed from wrapper-suffixed part folders, use the stripped folder base as the album name. Before using a raw parent name, search the rest of the path for a valid Artist DB match. Example: Marcus, Jay/Big Release CD 1, /Big Release CD 2, and /Big Release CD 3 resolve to one show named Jay Marcus - Big Release when Marcus, Jay resolves to the DB master Jay Marcus.</w:t>
      </w:r>
    </w:p>
    <w:p>
      <w:pPr>
        <w:pStyle w:val="Normal"/>
        <w:rPr/>
      </w:pPr>
      <w:r>
        <w:t>When a non-compliant folder name ends with a volume-style suffix but has the same stripped base as a sibling, keep it as a separate logical show. Strip the volume suffix only for metadata/setlist-base interpretation. When volume-style sibling names differ, aggregate them under the common parent only if every direct music-bearing child under that parent is one of those volume parts. Otherwise keep each music folder separate so a broad collection root cannot be renamed, tagged as one show, or used as one bootlist path.</w:t>
      </w:r>
    </w:p>
    <w:p>
      <w:pPr>
        <w:pStyle w:val="ListBullet"/>
        <w:numPr>
          <w:ilvl w:val="0"/>
          <w:numId w:val="1"/>
        </w:numPr>
        <w:rPr/>
      </w:pPr>
      <w:r>
        <w:t>For aggregated wrapper-part album records, String2/the stripped release base continues to be treated as ALBUM_NAME. It is not parsed, validated, or split into venue/location fields, and no date is assigned merely because the aggregation has no date. The same ALBUM_NAME rule applies to Parent/Parent (1)..Parent (N) multipart-release aggregation.</w:t>
      </w:r>
    </w:p>
    <w:p>
      <w:pPr>
        <w:pStyle w:val="ListBullet"/>
        <w:numPr>
          <w:ilvl w:val="0"/>
          <w:numId w:val="1"/>
        </w:numPr>
        <w:rPr/>
      </w:pPr>
      <w:r>
        <w:t>If an aggregated wrapper-part group has more than one source setlist file, postprocess must concatenate the unique setlist texts into one generated setlist file for the single bootlist entry. Duplicate setlist texts must be written only once.</w:t>
      </w:r>
    </w:p>
    <w:p>
      <w:pPr>
        <w:pStyle w:val="ListBullet"/>
        <w:numPr>
          <w:ilvl w:val="0"/>
          <w:numId w:val="1"/>
        </w:numPr>
        <w:rPr/>
      </w:pPr>
      <w:r>
        <w:t>The show name is Artist - Album Name, with any trailing parentheticals preserved in their original order.</w:t>
      </w:r>
    </w:p>
    <w:p>
      <w:pPr>
        <w:pStyle w:val="ListBullet"/>
        <w:numPr>
          <w:ilvl w:val="0"/>
          <w:numId w:val="1"/>
        </w:numPr>
        <w:rPr/>
      </w:pPr>
      <w:r>
        <w:t>If a non-compliant String1 - String2 album fallback later receives better structured performance metadata from selected setlist metadata, selected setlist date fallback, DATE tags, music filenames, or other structured parsing, rebuild the show name from Artist + Date + Venue + Location rather than keeping the earlier Artist - Album Name fallback. This keeps SHOW_NAME, bootlist.csv, and the generated setlist filename aligned. A dash-album fallback remains valid only when no stronger performance date/venue/location metadata has been established.</w:t>
      </w:r>
    </w:p>
    <w:p>
      <w:pPr>
        <w:pStyle w:val="Heading2"/>
        <w:rPr/>
      </w:pPr>
      <w:r>
        <w:t>7.20 Setlist Date, Artist, Venue, and Location Check</w:t>
      </w:r>
    </w:p>
    <w:p>
      <w:pPr>
        <w:pStyle w:val="ListBullet"/>
        <w:numPr>
          <w:ilvl w:val="0"/>
          <w:numId w:val="1"/>
        </w:numPr>
        <w:rPr/>
      </w:pPr>
      <w:r>
        <w:t>The canonical venue/location source precedence and non-overwrite rules are defined in Section 9. This subsection defines only how selected setlist contents are examined within that sequence.</w:t>
      </w:r>
    </w:p>
    <w:p>
      <w:pPr/>
      <w:r>
        <w:t>Selected setlist headers may contain Artist Date on one line or Artist Date Venue on one line. Use the recognized date token as the anchor: the short header-like text before it is artist evidence and the short/known venue text after it is optional venue evidence. Existing prose, track-list, and Artist DB confirmation safeguards still apply.</w:t>
      </w:r>
    </w:p>
    <w:p>
      <w:pPr>
        <w:pStyle w:val="ListBullet"/>
        <w:numPr>
          <w:ilvl w:val="0"/>
          <w:numId w:val="1"/>
        </w:numPr>
        <w:rPr/>
      </w:pPr>
      <w:r>
        <w:t>This check applies only to non-compliant mode. Compliant mode continues to ignore sampled FLAC/MP3 metadata tags and does not use this setlist metadata check unless a future requirement says otherwise.</w:t>
      </w:r>
    </w:p>
    <w:p>
      <w:pPr>
        <w:pStyle w:val="ListBullet"/>
        <w:numPr>
          <w:ilvl w:val="0"/>
          <w:numId w:val="1"/>
        </w:numPr>
        <w:rPr/>
      </w:pPr>
      <w:r>
        <w:t>The setlist metadata check uses the selected setlist file for the show group. The setlist file contents remain the source for normal Artist/Venue/Location metadata parsing. The selected setlist filename/path must not be used as date, venue, city, region, country, or location metadata input. As an artist-only fallback in non-compliant mode, when no DB-backed path artist and no explicit setlist-content artist has been identified, search the selected setlist filename (basename without extensions) for the longest unambiguous Artist-DB-backed artist phrase before falling back to an unmatched raw audio ARTIST tag.</w:t>
      </w:r>
    </w:p>
    <w:p>
      <w:pPr>
        <w:pStyle w:val="ListBullet"/>
      </w:pPr>
      <w:r>
        <w:t>Selected-setlist-filename artist evidence is lower priority than DB-backed path artist evidence and explicit selected-setlist-content Artist metadata, but higher priority than a deferred unmatched raw ARTIST/ALBUMARTIST tag. Record filename-derived artist evidence with a setlist_filename source and do not use filename text to infer any non-artist metadata field.</w:t>
      </w:r>
    </w:p>
    <w:p>
      <w:pPr>
        <w:pStyle w:val="ListBullet"/>
        <w:numPr>
          <w:ilvl w:val="0"/>
          <w:numId w:val="1"/>
        </w:numPr>
        <w:rPr/>
      </w:pPr>
      <w:r>
        <w:t>Before applying setlist header metadata rules, skip leading false-header commentary/noise. False headers may be decorated with asterisks or rule characters, but they may also be ordinary prose about the recording, upload, lineage, sharing notes, or similar commentary. If the first nonblank lines look like sentences, skip them until the first plausible metadata line. A line with only one or a few words is more likely to be the artist/header start than a preceding sentence-like commentary line.</w:t>
      </w:r>
    </w:p>
    <w:p>
      <w:pPr>
        <w:pStyle w:val="ListBullet"/>
        <w:numPr>
          <w:ilvl w:val="0"/>
          <w:numId w:val="1"/>
        </w:numPr>
        <w:rPr/>
      </w:pPr>
      <w:r>
        <w:t>After false-header trimming and before general artist/venue/location inference, the setlist metadata check must recognize explicit start-of-line labels such as Artist:, Artist -, Band:, Performer:, Venue:, Venue -, Location:, Location -, Loc:, City:, State:, Region:, Province:, Country:, Date:, and Place:. The label may have light leading decoration, such as asterisks or rule characters, but it must appear at the beginning of the logical line, not embedded inside a long sentence. Separators may be colon, equals, hyphen, en dash, or em dash with optional surrounding spaces. Label values that are long prose, recording commentary, or sentence-like descriptions must still be rejected. An explicit Artist/Band/Performer/Act label may fill a missing artist; the other explicit labels support missing venue/location parsing. If an explicit Venue label value contains a trailing location after comma-separated venue text, such as Venue: Osheaga Festival, Parc Jean-Drapeau, Montréal, QC, parse the rightmost valid city/region/country portion as location and retain the preceding comma-bearing text as the venue.</w:t>
      </w:r>
    </w:p>
    <w:p>
      <w:pPr>
        <w:pStyle w:val="ListBullet"/>
        <w:numPr>
          <w:ilvl w:val="0"/>
          <w:numId w:val="1"/>
        </w:numPr>
        <w:rPr/>
      </w:pPr>
      <w:r>
        <w:t>For explicit VENUE: metadata, do not reject the whole field merely because the full value contains sentence-like tails, semicolons, dates, or broadcast text. First trim broadcast/air-date/source tails and trailing date tokens, then apply prose rejection and venue/location splitting to the cleaned metadata prefix.</w:t>
      </w:r>
    </w:p>
    <w:p>
      <w:pPr>
        <w:pStyle w:val="ListBullet"/>
        <w:numPr>
          <w:ilvl w:val="0"/>
          <w:numId w:val="1"/>
        </w:numPr>
        <w:rPr/>
      </w:pPr>
      <w:r>
        <w:t>A VENUE: line may contain venue, location, and the performance date on the same line. Example: VENUE: Madison Square Garden, New York 23/12/72; Air date: ... must yield venue Madison Square Garden, location New York NY when support data allows it, and date 1972-12-23 as performance-date evidence.</w:t>
      </w:r>
    </w:p>
    <w:p>
      <w:pPr>
        <w:pStyle w:val="ListBullet"/>
        <w:numPr>
          <w:ilvl w:val="0"/>
          <w:numId w:val="1"/>
        </w:numPr>
        <w:rPr/>
      </w:pPr>
      <w:r>
        <w:t>The implementation must use support files from TLOHome/TLO_DBs. Required venue support is TLOHome/TLO_DBs/venues.txt. If venues.txt is missing or unreadable, local setlist venue/location checking must be skipped for that run with a readable observation or startup/reporting message; the inventory must not silently pretend that setlist venue lookup succeeded. Location support files such as cities.csv, states_regions.csv, and countries.csv are expected in TLOHome/TLO_DBs when available; if one of these optional files is absent, continue with the remaining support files and record an observation when location validation is degraded.</w:t>
      </w:r>
    </w:p>
    <w:p>
      <w:pPr>
        <w:pStyle w:val="ListBullet"/>
        <w:numPr>
          <w:ilvl w:val="0"/>
          <w:numId w:val="1"/>
        </w:numPr>
        <w:rPr/>
      </w:pPr>
      <w:r>
        <w:t>When cities.csv contains LA or L.A. as shorthand aliases for Los Angeles, accept those aliases only when explicit California evidence follows immediately, such as LA CA or LA, California. Otherwise, leave LA available for state/region parsing as Louisiana.</w:t>
      </w:r>
    </w:p>
    <w:p>
      <w:pPr>
        <w:pStyle w:val="ListBullet"/>
        <w:numPr>
          <w:ilvl w:val="0"/>
          <w:numId w:val="1"/>
        </w:numPr>
        <w:rPr/>
      </w:pPr>
      <w:r>
        <w:t>The setlist metadata check must limit artist/venue/location/date detection to the header/metadata area of the setlist contents. It must stop scanning metadata candidates when the track list starts or when a checksum/hash/log section starts. Track-list starts include punctuated track numbers such as 01., 1), and 03 -, plain track numbers such as 01 TrackTitle and 1 TrackTitle, bracketed-time forms such as 01 [08:23] TrackTitle, and file-style forms such as Track01 and d1t01. However, valid date header lines must not terminate metadata scanning merely because they look track-shaped. Track/hash/log boundaries should normally require a section label or multiple nearby track/hash lines; for very small setlist files, a single track or hash line may terminate scanning only after enough prior header evidence has been collected. Checksum/hash/log boundaries include checksum, ffp, md5, st5, sfv, verification, flac conversion, shntool, aucdtect, individual 32- to 64-character hex hash lines, and filename.ext:&lt;hex&gt; checksum rows for recognized audio extensions, such as 01 Highway Star.flac:81b2cf16b83390c1875f67afb2d37350. Filename.ext:&lt;hex&gt; checksum rows should ordinarily appear as multiple consecutive rows before they are treated as a hash/checksum section boundary.</w:t>
      </w:r>
    </w:p>
    <w:p>
      <w:pPr>
        <w:pStyle w:val="ListBullet"/>
        <w:numPr>
          <w:ilvl w:val="0"/>
          <w:numId w:val="1"/>
        </w:numPr>
        <w:rPr/>
      </w:pPr>
      <w:r>
        <w:t>The setlist metadata check must also recognize strict unlabeled multi-line header blocks before the metadata scan boundary, when the block has a validated structure such as Artist / Venue / Location / Date, Artist / Date / Venue / Location, or Artist / combined Venue, City, Country / Date. The first Artist line from such a validated unlabeled block is artist evidence, not merely a structural delimiter. The structured scan must remain bounded to the same header/metadata window and must not search copied headers, notes, song-title sections, hash/checksum sections, or other text after the first true track-list or checksum/hash/log boundary. The strict unlabeled-header shape also extends to allow one additional short room/hall line between Artist and the named Venue when the following Location and Date lines validate the structure. For example, Artist / Concert Hall / Kennedy Center / Washington, DC / Date must keep the first line as Artist and use Kennedy Center as Venue; Concert Hall must not shift into the artist slot.</w:t>
      </w:r>
    </w:p>
    <w:p>
      <w:pPr>
        <w:pStyle w:val="ListBullet"/>
      </w:pPr>
      <w:r>
        <w:t>Structured Live-at header rule: before applying the looser unlabeled Artist / Venue / Location shapes, the selected-setlist metadata parser must recognize the strong traded-setlist form Artist / Live at Venue, City, State/Region/Country, Date. Introductory prose above that pair must not shift the artist or venue slots. The trailing performance date is metadata and must be removed before splitting Venue from Location. When the structured artist contains an obvious duplicated terminal grouping word such as Group Group or Band Band, collapse only the repeated word before Artist DB resolution; a single legitimate Group or Band suffix remains unchanged. Before resolving any structured artist, separate an explicitly dash-delimited or parenthesized terminal performance qualifier, and after an exact Artist DB miss allow the same unique-only apostrophe retry defined for tag artists. A structured unlabeled artist still requires a unique Artist DB match (or an already-defined conservative collaboration resolution) before use. Once DB-confirmed, this high-confidence selected-setlist artist may replace a conflicting artist supported only by weaker generic path-pattern/subdirectory evidence. It must not displace /slam or explicit strong folder/commercial artist evidence. Structured selected-setlist Artist metadata is evaluated before selected-setlist-filename and sampled-audio-tag artist evidence, as defined by the canonical precedence in Section 4.1.</w:t>
      </w:r>
    </w:p>
    <w:p>
      <w:pPr>
        <w:pStyle w:val="ListBullet"/>
        <w:numPr>
          <w:ilvl w:val="0"/>
          <w:numId w:val="1"/>
        </w:numPr>
        <w:rPr/>
      </w:pPr>
      <w:r>
        <w:t>A city-list hit with no explicit state, region, country, comma/slash location context, or other strong location evidence is not sufficient by itself. For example, Nice by itself must not become Nice France when it appears as an adjective or comment fragment. Location parsing must also accept City + Region/State/Province + Country forms in setlist headers, including Marina Del Rey, California USA and comparable non-U.S. comma-separated region/country forms. Setlist header parsing must recognize short unlabeled combined venue/location lines in the form Venue, City, Country; Venue, City, State; Venue, City, State/Region, Country; and conservative Venue City Country forms where the country is known and the city can be identified as a short suffix. For example, Parc des Expos, Reims, France must resolve to Venue = Parc des Expos and Location = Reims France, and Stadthalle St. Ingbert Germany must resolve to Venue = Stadthalle and Location = St. Ingbert Germany. This combined-line split and any trailing-state/region fallback must be limited to header-like location evidence; a recognized state/region must terminate the location expression and must not be taken from inside artist/title text.</w:t>
      </w:r>
    </w:p>
    <w:p>
      <w:pPr>
        <w:pStyle w:val="ListBullet"/>
        <w:numPr>
          <w:ilvl w:val="0"/>
          <w:numId w:val="1"/>
        </w:numPr>
        <w:rPr/>
      </w:pPr>
      <w:r>
        <w:t>Candidate lines that look like prose, recording commentary, taper notes, or long sentence-like descriptions must not be searched for venue or location evidence. This includes long lines with sentence punctuation or recording-source terms. Venue words embedded inside such prose, such as stage inside a recording note, must not be accepted as the Venue.</w:t>
      </w:r>
    </w:p>
    <w:p>
      <w:pPr>
        <w:pStyle w:val="ListBullet"/>
        <w:numPr>
          <w:ilvl w:val="0"/>
          <w:numId w:val="1"/>
        </w:numPr>
        <w:rPr/>
      </w:pPr>
      <w:r>
        <w:t>Date-like tokens found in long prose, recording commentary, collection descriptions, or introductory paragraphs must be downranked compared with explicit metadata/header evidence. A paragraph saying from 1972-75 is a collection/range clue, not preferred performance-date evidence when a VENUE: or DATE: line supplies a complete date.</w:t>
      </w:r>
    </w:p>
    <w:p>
      <w:pPr>
        <w:pStyle w:val="ListBullet"/>
        <w:numPr>
          <w:ilvl w:val="0"/>
          <w:numId w:val="1"/>
        </w:numPr>
        <w:rPr/>
      </w:pPr>
      <w:r>
        <w:t>This header limit prevents song titles, track titles, hashes, and verification/log text from being parsed as dates or locations, such as treating HANG ON SLOOPY as city HANG and region ON, or treating She Left Me as city She Left and state ME. A two-letter state/region code found in setlist metadata must be uppercase to count as that abbreviation; full state names remain case-insensitive.</w:t>
      </w:r>
    </w:p>
    <w:p>
      <w:pPr>
        <w:pStyle w:val="ListBullet"/>
        <w:numPr>
          <w:ilvl w:val="0"/>
          <w:numId w:val="1"/>
        </w:numPr>
        <w:rPr/>
      </w:pPr>
      <w:r>
        <w:t>Header location lines may contain a city with a full U.S. state name, with or without a comma, such as Boca Raton,Florida or Boca Raton Florida. Normalize the region to the two-letter state code.</w:t>
      </w:r>
    </w:p>
    <w:p>
      <w:pPr>
        <w:pStyle w:val="ListBullet"/>
        <w:numPr>
          <w:ilvl w:val="0"/>
          <w:numId w:val="1"/>
        </w:numPr>
        <w:rPr/>
      </w:pPr>
      <w:r>
        <w:t>The setlist metadata check normally fills missing artist, venue, city, region, country, and location fields. It must also run for selected setlist files when a path matched String1 - String2, so explicit labels can fill otherwise missing venue/location fields. A narrow correction rule applies for non-compliant venue/location metadata: when an existing venue/city/region/country value is supported only by lower-confidence path_part evidence, a non-equivalent selected-setlist value with strictly higher confidence may replace that weak path value. A separate narrow artist correction applies: an artist line extracted from a strict unlabeled structured header may become or replace Artist only when it resolves uniquely in artists.sqlite. It may replace an incompatible Artist only when the current Artist is supported solely by weaker generic path/subdirectory artist scanning. It may also resolve a generic path-only artist conflict. It must not override /slam, audio-tag artist evidence, explicit String1 - String2/commercial-release artist rules, setlist-filename artist evidence, Artist DB collisions, or other stronger/non-path artist evidence. All replacements must be recorded as observations. Equivalent values may be retained and corroborated without a disagreement observation. Location-tail artist safety applies for generic path/subdirectory scanning. That safety also extends to any Artist DB phrase found wholly inside the parsed venue/location tail of a date-bearing folder and adds qualifier cleanup plus a unique apostrophe-insensitive retry for tag and structured-setlist artist candidates. The reported The Travelin' McCoury's - Early Show / Eddie's Attic / Decatur, Georgia / 11/4/2022 case must resolve Artist = The Travelin' McCourys, Date = 2022-11-04, Venue = Eddie's Attic, Location = Decatur, GA, and Qualifier = Early Show; the final Show identity must end with (Early Show). An exact artist directory named Attic remains eligible. The guarded Date Artist Venue Location path pattern also applies: the Artist must be a unique DB match anchored immediately after a leading date, and removing it must leave a complete Venue plus City and Region/Country.</w:t>
      </w:r>
    </w:p>
    <w:p>
      <w:pPr>
        <w:pStyle w:val="ListBullet"/>
        <w:numPr>
          <w:ilvl w:val="0"/>
          <w:numId w:val="1"/>
        </w:numPr>
        <w:rPr/>
      </w:pPr>
      <w:r>
        <w:t>If the setlist check supplies artist, venue, city, region/state, or country, add evidence entries using a setlist_metadata source and record an observation that the selected setlist file was used. Explicit artist labels must use a setlist_metadata:EXPLICIT_ARTIST_KEY source when they fill a previously missing artist. A DB-confirmed artist from a strict unlabeled structured header must use setlist_metadata:STRUCTURED_UNLABELED_ARTIST_HEADER. An unlabeled header artist that is absent from artists.sqlite or resolves to multiple Artist DB masters must not be promoted to Artist. The structured-header rule also permits a strict structured collaboration header such as Chick Corea and Herbie Hancock when the complete phrase has no single Artist DB row only if every component separated by a conservative standalone and, with, &amp;, or + connector resolves uniquely in artists.sqlite. If any collaboration component is absent or ambiguous, the combined header contributes no artist candidate and TLO must not guess.</w:t>
      </w:r>
    </w:p>
    <w:p>
      <w:pPr>
        <w:pStyle w:val="ListBullet"/>
      </w:pPr>
      <w:r>
        <w:t>Required structured-header regression: a setlist beginning with commentary such as Great vintage stuff!!, followed by AL DiMeola Group GROUP and then Live at Gürzenich, Cologne, Germany, 1978-10-13, must resolve the structured artist through artists.sqlite as Al DiMeola Group, resolve Venue=Gürzenich and Location=Cologne, Germany, and must not reinterpret the commentary as Artist or the artist line as Venue. If a weaker generic path artist was already selected, the DB-confirmed structured setlist artist must replace it under the normal confidence rule.</w:t>
      </w:r>
    </w:p>
    <w:p>
      <w:pPr>
        <w:pStyle w:val="ListBullet"/>
      </w:pPr>
      <w:r>
        <w:t>Required strict-unlabeled-header regression: for a selected setlist beginning Kinky Friedman / Lone Star Cafe, New York, NY / Early 1980s, the structured header must identify Kinky Friedman as the DB-confirmed artist and Lone Star Cafe / New York NY as venue/location. This must remain true even if an erroneous Lone Star Cafe artist entry is still present in artists.sqlite and generic path scanning encounters it. With no exact performance date, the resulting Show Name is Kinky Friedman xxxx-xx-xx Lone Star Cafe New York, NY.</w:t>
      </w:r>
    </w:p>
    <w:p>
      <w:pPr>
        <w:pStyle w:val="ListBullet"/>
        <w:numPr>
          <w:ilvl w:val="0"/>
          <w:numId w:val="1"/>
        </w:numPr>
        <w:rPr/>
      </w:pPr>
      <w:r>
        <w:t>For non-compliant venue/location source order and online-lookup authority, Section 9 is canonical. Selected-setlist correction in this section is limited to replacing non-equivalent venue/city/region/country values supported solely by lower-confidence path_part evidence when selected-setlist confidence is strictly higher. eTreeDB and other stronger evidence must not be overwritten, Location must be rebuilt after an authorized correction, and Thorough Setlist Matching may gather additional setlist.fm candidates without increasing setlist.fm source authority.</w:t>
      </w:r>
    </w:p>
    <w:p>
      <w:pPr>
        <w:pStyle w:val="ListBullet"/>
      </w:pPr>
      <w:r>
        <w:t>Path String2 parsing must reject day/track-style numeric debris of the form numeric-token + numbered-city-prefix before a valid state/country anchor. For example, "04 05.Reidsville NC" must normalize to no venue, City=Reidsville, Region=NC; it must not produce Venue=04 or City=05.Reidsville. This cleanup is conservative and applies when the putative venue is numeric-only and the city token begins with a numeric prefix followed by period, underscore, or dash.</w:t>
      </w:r>
    </w:p>
    <w:p>
      <w:pPr>
        <w:pStyle w:val="ListBullet"/>
        <w:numPr>
          <w:ilvl w:val="0"/>
          <w:numId w:val="1"/>
        </w:numPr>
        <w:rPr/>
      </w:pPr>
      <w:r>
        <w:t>If no usable setlist file exists, the candidate is unreadable, NULL-filled, binary-like, checksum-only, housekeeping-only, no support data exists, or no usable artist/venue/location metadata is found, record only an observation when appropriate and continue normal non-compliant processing.</w:t>
      </w:r>
    </w:p>
    <w:p>
      <w:pPr>
        <w:pStyle w:val="ListBullet"/>
      </w:pPr>
      <w:r>
        <w:t>Selected setlist metadata parsing must recognize concise spaced double-dash headers when exactly one side is a strong location and the other side is a plausible venue. Both Location -- Venue and Venue -- Location are valid and run before generic venue-database substring fallback. Example: Winnipeg, MB -- CBC Winnipeg studios resolves to Venue CBC Winnipeg studios and Location Winnipeg MB when MB is supported region data.</w:t>
      </w:r>
    </w:p>
    <w:p>
      <w:pPr>
        <w:pStyle w:val="ListBullet"/>
      </w:pPr>
      <w:r>
        <w:t>A concise date header may carry a trailing duration separated by a spaced double dash, such as 1991-09-21 -- 51:27. The duration is annotation and must not prevent the date from remaining valid header/date evidence.</w:t>
      </w:r>
    </w:p>
    <w:p>
      <w:pPr>
        <w:pStyle w:val="ListBullet"/>
      </w:pPr>
      <w:r>
        <w:t>Generic venue-list fallback must exclude concise comma-separated performer/personnel lists with three or more name-like entries unless the line itself parses as a location. A one-word venue of five or fewer normalized characters must stand alone or be supplied by an explicit Venue: field before generic fallback may use it. Thus Van in Townes Van Zandt is not venue evidence, while Van by itself or Venue: Van remains valid.</w:t>
      </w:r>
    </w:p>
    <w:p>
      <w:pPr>
        <w:pStyle w:val="ListBullet"/>
      </w:pPr>
      <w:r>
        <w:t>For a partial one-word Artist DB match at the beginning of a selected setlist filename, a date may establish strong filename structure only when the date is the first substantive component after the artist, allowing only normal filename separators between the artist and date. Thus Prince 1984-06-07, Prince - 1984-06-07, and Prince_1984-06-07 remain valid, while Two Gentlemen 1979-10-05, Live In Boston 1999-01-01, and The Wall 1980-08-09 must not promote Two, Live, or The merely because a date appears later.</w:t>
      </w:r>
    </w:p>
    <w:p>
      <w:pPr>
        <w:pStyle w:val="ListBullet"/>
      </w:pPr>
      <w:r>
        <w:t>The trailing full-state/region-name location parser must reject title-like text when the putative city fragment ends in a connective/preposition and there is no comma before the region. Two Gentlemen In New York must not become Location Two Gentlemen In, NY. Real location forms such as Albany New York remain valid.</w:t>
      </w:r>
    </w:p>
    <w:p>
      <w:pPr>
        <w:pStyle w:val="ListBullet"/>
      </w:pPr>
      <w:r>
        <w:t>Generic String2/path parsing must refuse to use a lone connective/preposition as a city. Two Gentlemen In, NY must not become Venue Two Gentlemen / City In / Region NY. Path and setlist location parsing must use the same shared connective-word definition so their decisions cannot drift.</w:t>
      </w:r>
    </w:p>
    <w:p>
      <w:pPr>
        <w:pStyle w:val="Heading1"/>
        <w:rPr/>
      </w:pPr>
      <w:r>
        <w:t>8. Compliant Mode</w:t>
      </w:r>
    </w:p>
    <w:p>
      <w:pPr>
        <w:pStyle w:val="Normal"/>
        <w:rPr/>
      </w:pPr>
      <w:r>
        <w:t>Compliant mode applies when --compliant is set. Compliant and Rename Compliantly are mutually exclusive.</w:t>
      </w:r>
    </w:p>
    <w:p>
      <w:pPr>
        <w:pStyle w:val="ListBullet"/>
        <w:numPr>
          <w:ilvl w:val="0"/>
          <w:numId w:val="1"/>
        </w:numPr>
        <w:rPr/>
      </w:pPr>
      <w:r>
        <w:t>Compliant mode must not read sampled FLAC or MP3 metadata tags. ARTIST, ALBUMARTIST, ALBUM, and DATE tags must not be sampled, carried forward from old group logs, logged, or allowed to affect compliant-mode artist, date, venue, location, evidence, conflicts, observations, generated setlists, or show-name construction.</w:t>
      </w:r>
    </w:p>
    <w:p>
      <w:pPr>
        <w:pStyle w:val="Heading2"/>
        <w:rPr/>
      </w:pPr>
      <w:r>
        <w:t>8.1 Source Directory</w:t>
      </w:r>
    </w:p>
    <w:p>
      <w:pPr>
        <w:pStyle w:val="ListBullet"/>
        <w:numPr>
          <w:ilvl w:val="0"/>
          <w:numId w:val="1"/>
        </w:numPr>
        <w:rPr/>
      </w:pPr>
      <w:r>
        <w:t>Extract the last subdirectory name from the main directory name.</w:t>
      </w:r>
    </w:p>
    <w:p>
      <w:pPr>
        <w:pStyle w:val="Normal"/>
        <w:rPr/>
      </w:pPr>
      <w:r>
        <w:t>When compliant-mode media files are video files, check the path subdirectories associated with the video group for compliant folder patterns before falling back to the leaf folder name. The pattern checks must include String1 Date String2, the String1 - String2 Date boundary refinement, String1 - String2, and String1 Date. This allows video wrapper folders such as VIDEO_TS, AUDIO_TS, BDMV, CERTIFICATE, Video, DVD, BluRay, or Blu-Ray to resolve from a parent or other path subdirectory that carries the show name.</w:t>
      </w:r>
    </w:p>
    <w:p>
      <w:pPr>
        <w:pStyle w:val="Normal"/>
        <w:rPr/>
      </w:pPr>
      <w:r>
        <w:t>Apply the normal compliant pattern sequence to the first matching video path subdirectory text: String1 Date String2; then, if that fails and the text is String1 - String2, inspect String2 for one complete performance date at its beginning or end; then generic String1 - String2; then String1 Date. If no matching subdirectory pattern is found and the leaf folder is a standard video wrapper folder, the immediate parent directory may still be used as the compliant fallback text. The MP3 year special case remains audio-only and applies only when its separate conditions are met.</w:t>
      </w:r>
    </w:p>
    <w:p>
      <w:pPr>
        <w:pStyle w:val="Heading2"/>
        <w:rPr/>
      </w:pPr>
      <w:r>
        <w:t>8.2 String1 Date String2 (see Appendix E4)</w:t>
      </w:r>
    </w:p>
    <w:p>
      <w:pPr>
        <w:pStyle w:val="ListBullet"/>
        <w:numPr>
          <w:ilvl w:val="0"/>
          <w:numId w:val="1"/>
        </w:numPr>
        <w:rPr/>
      </w:pPr>
      <w:r>
        <w:t>Search for String1 Date String2 by first looking for a Date in yyyy-mm-dd form. If no yyyy-mm-dd match is present, look for an accepted year-range date. Only if those compliant-primary forms are absent may the broader historical date parser be used as a fallback.</w:t>
      </w:r>
    </w:p>
    <w:p>
      <w:pPr>
        <w:pStyle w:val="ListBullet"/>
        <w:numPr>
          <w:ilvl w:val="0"/>
          <w:numId w:val="1"/>
        </w:numPr>
        <w:rPr/>
      </w:pPr>
      <w:r>
        <w:t>When found, strip leading and trailing whitespace from String1 and treat the result as the candidate artist text.</w:t>
      </w:r>
    </w:p>
    <w:p>
      <w:pPr>
        <w:pStyle w:val="ListBullet"/>
        <w:numPr>
          <w:ilvl w:val="0"/>
          <w:numId w:val="1"/>
        </w:numPr>
        <w:rPr/>
      </w:pPr>
      <w:r>
        <w:t>Artist identification continues to use the existing Artist DB rules. As-Is Artist Name and Proper Grammar affect only the outward-facing artist spelling after identification. By default, when a discovered artist or alias matches one Artist DB entry, TLO uses the database master artist name. When As-Is Artist Name is checked, TLO preserves the artist spelling and wording from the metadata source that identified the show while still using the Artist DB to recognize aliases and resolve matches; As-Is Artist Name always overrides and suppresses Proper Grammar output conversion. When Proper Grammar is checked and As-Is Artist Name is unchecked, TLO prefers a qualifying DB alias such as Last, First or Band, The when one exists; otherwise it falls back to the same name the current master/alias logic would have produced.</w:t>
      </w:r>
    </w:p>
    <w:p>
      <w:pPr>
        <w:pStyle w:val="ListBullet"/>
        <w:numPr>
          <w:ilvl w:val="0"/>
          <w:numId w:val="1"/>
        </w:numPr>
        <w:rPr/>
      </w:pPr>
      <w:r>
        <w:t>If the Artist DB does not find one unambiguous master, use the artist text found in metadata and record the miss or collision as an observation rather than an unresolved reason.</w:t>
      </w:r>
    </w:p>
    <w:p>
      <w:pPr>
        <w:pStyle w:val="ListBullet"/>
        <w:numPr>
          <w:ilvl w:val="0"/>
          <w:numId w:val="1"/>
        </w:numPr>
        <w:rPr/>
      </w:pPr>
      <w:r>
        <w:t>TLO must not open a Master-versus-As-Is selection window or command-line prompt. The GUI uses the As-Is Artist Name checkbox, which defaults to unchecked. The CLI uses --as-is-artist-name. The hidden legacy --compliant-artist-mode master|as-is argument may remain accepted for compatibility but must not be documented in help output.</w:t>
      </w:r>
    </w:p>
    <w:p>
      <w:pPr>
        <w:pStyle w:val="ListBullet"/>
        <w:numPr>
          <w:ilvl w:val="0"/>
          <w:numId w:val="1"/>
        </w:numPr>
        <w:rPr/>
      </w:pPr>
      <w:r>
        <w:t>Strip parenthetical items from the end of String2, cache them in order, and save them in PARENTHETICALS.</w:t>
      </w:r>
    </w:p>
    <w:p>
      <w:pPr>
        <w:pStyle w:val="ListBullet"/>
        <w:numPr>
          <w:ilvl w:val="0"/>
          <w:numId w:val="1"/>
        </w:numPr>
        <w:rPr/>
      </w:pPr>
      <w:r>
        <w:t>String2 is also stored as ALBUM_NAME in compliant mode when used raw.</w:t>
      </w:r>
    </w:p>
    <w:p>
      <w:pPr>
        <w:pStyle w:val="ListBullet"/>
        <w:numPr>
          <w:ilvl w:val="0"/>
          <w:numId w:val="1"/>
        </w:numPr>
        <w:rPr/>
      </w:pPr>
      <w:r>
        <w:t>When --etree-lookup is false, do not parse, validate, or split String2 into venue/location fields. Use String2 exactly as found after trailing parenthetical extraction. The show name is Artist Date String2.</w:t>
      </w:r>
    </w:p>
    <w:p>
      <w:pPr>
        <w:pStyle w:val="Normal"/>
        <w:rPr/>
      </w:pPr>
      <w:r>
        <w:t>In compliant mode only, a folder-name date of the form yyyy-mm dd, such as 2014-04 18, is treated as a repairable separator typo during compliant pattern matching. Normalize it to yyyy-mm-dd in the Date field and show name, and record an observation that the compliant date separator repair was made.</w:t>
      </w:r>
    </w:p>
    <w:p>
      <w:pPr>
        <w:pStyle w:val="Heading2"/>
        <w:rPr/>
      </w:pPr>
      <w:r>
        <w:t>8.3 String1 - String2 Date and String1 - String2</w:t>
      </w:r>
    </w:p>
    <w:p>
      <w:pPr>
        <w:pStyle w:val="ListBullet"/>
        <w:numPr>
          <w:ilvl w:val="0"/>
          <w:numId w:val="1"/>
        </w:numPr>
        <w:rPr/>
      </w:pPr>
      <w:r>
        <w:t>If String1 Date String2 is not found, check for String1 - String2. Before accepting the generic dash fallback, inspect String2 for one complete performance date at a boundary. When a complete date is at the end of String2, normalize it into Date and keep the remaining leading String2 text as the raw album/show/venue tail. A complete date at the beginning of String2 is already covered by the higher-precedence String1 Date String2 form when trailing String2 text exists. Bare years, year ranges, partial dates, and dates embedded in the middle of String2 must not trigger this boundary-date refinement. The same DB-gated Artist/Album spacing rule applies in compliant mode: Artist - Album, Artist- Album, Artist -Album, and Artist-Album are equivalent only after the left side uniquely identifies the artist; later dashes remain in String2.</w:t>
      </w:r>
    </w:p>
    <w:p>
      <w:pPr>
        <w:pStyle w:val="ListBullet"/>
        <w:numPr>
          <w:ilvl w:val="0"/>
          <w:numId w:val="1"/>
        </w:numPr>
        <w:rPr/>
      </w:pPr>
      <w:r>
        <w:t>Use the run-wide artist naming settings. As-Is Artist Name has highest precedence and preserves String1 as the output artist name. Otherwise, normalize String1 for Artist DB lookup and use the DB master name when matched; if Proper Grammar is checked, replace that outward-facing master spelling with a qualifying DB-backed Last, First or Band, The alias when one exists. If no qualifying Proper Grammar alias exists, keep the current master-name result.</w:t>
      </w:r>
    </w:p>
    <w:p>
      <w:pPr>
        <w:pStyle w:val="ListBullet"/>
        <w:numPr>
          <w:ilvl w:val="0"/>
          <w:numId w:val="1"/>
        </w:numPr>
        <w:rPr/>
      </w:pPr>
      <w:r>
        <w:t>For the String1 - String2 Date refinement, Date is the normalized complete boundary date and the remaining String2 text is stored as ALBUM_NAME and raw venue/show text under the same no-venue/location-parsing rule used by compliant String2. Example: The Georgia Satellites - Santa Cruz 01-17-87 resolves to Artist The Georgia Satellites, Date 1987-01-17, String2 Santa Cruz, and Show The Georgia Satellites 1987-01-17 Santa Cruz. If the boundary-date refinement does not match, generic String1 - String2 assigns no Date and String2 remains the album/show tail. Artist output still follows the run-wide As-Is Artist Name setting.</w:t>
      </w:r>
    </w:p>
    <w:p>
      <w:pPr>
        <w:pStyle w:val="ListBullet"/>
        <w:numPr>
          <w:ilvl w:val="0"/>
          <w:numId w:val="1"/>
        </w:numPr>
        <w:rPr/>
      </w:pPr>
      <w:r>
        <w:t>If the Artist DB does not find one unambiguous master, use String1 as the artist and record the miss or collision as an observation.</w:t>
      </w:r>
    </w:p>
    <w:p>
      <w:pPr>
        <w:pStyle w:val="ListBullet"/>
        <w:numPr>
          <w:ilvl w:val="0"/>
          <w:numId w:val="1"/>
        </w:numPr>
        <w:rPr/>
      </w:pPr>
      <w:r>
        <w:t>For compliant String1 - String2 Date and generic String1 - String2 cases, treat the remaining String2 as the album name. Do not parse, validate, or split String2 into venue/location fields unless eTreeDB lookup succeeds under the online lookup rules.</w:t>
      </w:r>
    </w:p>
    <w:p>
      <w:pPr>
        <w:pStyle w:val="ListBullet"/>
        <w:numPr>
          <w:ilvl w:val="0"/>
          <w:numId w:val="1"/>
        </w:numPr>
        <w:rPr/>
      </w:pPr>
      <w:r>
        <w:t>For String1 - String2 Date, when --etree-lookup is false, the show name is Artist Date String2. For generic String1 - String2 there is no date and the show name is Artist - String2.</w:t>
      </w:r>
    </w:p>
    <w:p>
      <w:pPr>
        <w:pStyle w:val="ListBullet"/>
        <w:numPr>
          <w:ilvl w:val="0"/>
          <w:numId w:val="1"/>
        </w:numPr>
        <w:rPr/>
      </w:pPr>
      <w:r>
        <w:t>For the generic String1 - String2 compliant case, there is no date. Do not assign xxxx-xx-xx for the compliant extraction record or generated setlist content. This no-date rule does not apply when the String1 - String2 Date boundary refinement supplied a complete Date.</w:t>
      </w:r>
    </w:p>
    <w:p>
      <w:pPr>
        <w:pStyle w:val="ListBullet"/>
        <w:numPr>
          <w:ilvl w:val="0"/>
          <w:numId w:val="1"/>
        </w:numPr>
        <w:rPr/>
      </w:pPr>
      <w:r>
        <w:t>The generated setlist text filename for generic String1 - String2 with no parsed Date must include a dash between the sanitized Artist/String1 component and the sanitized String2 component: Artist-String2. String1 - String2 Date uses the normal dated setlist filename construction from Artist + Date + Venue + Location + Parentheticals.</w:t>
      </w:r>
    </w:p>
    <w:p>
      <w:pPr>
        <w:pStyle w:val="Heading2"/>
        <w:rPr/>
      </w:pPr>
      <w:r>
        <w:t>8.4 String1 Date</w:t>
      </w:r>
    </w:p>
    <w:p>
      <w:pPr>
        <w:pStyle w:val="ListBullet"/>
        <w:numPr>
          <w:ilvl w:val="0"/>
          <w:numId w:val="1"/>
        </w:numPr>
        <w:rPr/>
      </w:pPr>
      <w:r>
        <w:t>If String1 Date String2, String1 - String2 Date, and generic String1 - String2 are not found, check for String1 Date.</w:t>
      </w:r>
    </w:p>
    <w:p>
      <w:pPr>
        <w:pStyle w:val="ListBullet"/>
        <w:numPr>
          <w:ilvl w:val="0"/>
          <w:numId w:val="1"/>
        </w:numPr>
        <w:rPr/>
      </w:pPr>
      <w:r>
        <w:t>If found, String1 is the candidate artist and Date is the show date.</w:t>
      </w:r>
    </w:p>
    <w:p>
      <w:pPr>
        <w:pStyle w:val="ListBullet"/>
        <w:numPr>
          <w:ilvl w:val="0"/>
          <w:numId w:val="1"/>
        </w:numPr>
        <w:rPr/>
      </w:pPr>
      <w:r>
        <w:t>Use the run-wide artist naming settings. As-Is Artist Name has highest precedence and preserves String1. Otherwise use the Artist DB master when matched, then, if Proper Grammar is checked, prefer a qualifying DB-backed Last, First or Band, The alias when available. Misses and collisions fall back to String1 with an observation.</w:t>
      </w:r>
    </w:p>
    <w:p>
      <w:pPr>
        <w:pStyle w:val="ListBullet"/>
        <w:numPr>
          <w:ilvl w:val="0"/>
          <w:numId w:val="1"/>
        </w:numPr>
        <w:rPr/>
      </w:pPr>
      <w:r>
        <w:t>No venue or location is assigned for this pattern.</w:t>
      </w:r>
    </w:p>
    <w:p>
      <w:pPr>
        <w:pStyle w:val="Heading2"/>
        <w:rPr/>
      </w:pPr>
      <w:r>
        <w:t>8.5 MP3 Year Folder Special Case</w:t>
      </w:r>
    </w:p>
    <w:p>
      <w:pPr>
        <w:pStyle w:val="Normal"/>
        <w:rPr/>
      </w:pPr>
      <w:r>
        <w:t>In compliant mode, after String1 Date String2, String1 - String2 Date, generic String1 - String2, and String1 Date all fail, if all inventoried music files found for the group are .mp3 files, the folder name is a four-digit year from 1959 through 2005 inclusive, and billboard appears somewhere in the folder path, case-insensitively, use that four-digit year as the complete Show name.</w:t>
      </w:r>
    </w:p>
    <w:p>
      <w:pPr>
        <w:pStyle w:val="Normal"/>
        <w:rPr/>
      </w:pPr>
      <w:r>
        <w:t>For this MP3 year special case, Artist, Date, Venue, and Location remain blank. The generated setlist filename is based on the year show name.</w:t>
      </w:r>
    </w:p>
    <w:p>
      <w:pPr>
        <w:pStyle w:val="Heading2"/>
        <w:rPr/>
      </w:pPr>
      <w:r>
        <w:t>8.6 Final Folder-Name Fallback</w:t>
      </w:r>
    </w:p>
    <w:p>
      <w:pPr>
        <w:pStyle w:val="ListBullet"/>
        <w:numPr>
          <w:ilvl w:val="0"/>
          <w:numId w:val="1"/>
        </w:numPr>
        <w:rPr/>
      </w:pPr>
      <w:r>
        <w:t>If none of the compliant patterns are found, use the folder name as the Show name.</w:t>
      </w:r>
    </w:p>
    <w:p>
      <w:pPr>
        <w:pStyle w:val="ListBullet"/>
        <w:numPr>
          <w:ilvl w:val="0"/>
          <w:numId w:val="1"/>
        </w:numPr>
        <w:rPr/>
      </w:pPr>
      <w:r>
        <w:t>For this fallback, Artist, Date, Venue, and Location remain blank.</w:t>
      </w:r>
    </w:p>
    <w:p>
      <w:pPr>
        <w:pStyle w:val="ListBullet"/>
        <w:numPr>
          <w:ilvl w:val="0"/>
          <w:numId w:val="1"/>
        </w:numPr>
        <w:rPr/>
      </w:pPr>
      <w:r>
        <w:t>The generated setlist text filename must be based on the Show name with normal setlist filename stripping.</w:t>
      </w:r>
    </w:p>
    <w:p>
      <w:pPr>
        <w:pStyle w:val="Heading2"/>
        <w:rPr/>
      </w:pPr>
      <w:r>
        <w:t>8.7 Compliant Artist Mode and DB Miss Rule</w:t>
      </w:r>
    </w:p>
    <w:p>
      <w:pPr>
        <w:pStyle w:val="ListBullet"/>
        <w:numPr>
          <w:ilvl w:val="0"/>
          <w:numId w:val="1"/>
        </w:numPr>
        <w:rPr/>
      </w:pPr>
      <w:r>
        <w:t>The main GUI includes As-Is Artist Name and Proper Grammar checkboxes. Both apply to compliant and non-compliant metadata collection and both default to unchecked. Proper Grammar is positioned directly under As-Is Artist Name. The CLI surfaces tlo-gi, tlo-main, and tlo-tag expose --proper-grammar wherever their other shared artist-naming options are available; --old-grammar is not a supported compatibility spelling. As-Is Artist Name always overrides Proper Grammar.</w:t>
      </w:r>
    </w:p>
    <w:p>
      <w:pPr>
        <w:pStyle w:val="ListBullet"/>
        <w:numPr>
          <w:ilvl w:val="0"/>
          <w:numId w:val="1"/>
        </w:numPr>
        <w:rPr/>
      </w:pPr>
      <w:r>
        <w:t>With As-Is Artist Name unchecked and Proper Grammar unchecked, TLO uses the existing artist-name decision logic: an unambiguous Artist DB match produces the DB master name, while a miss/collision uses the discovered text and records an observation. With Proper Grammar checked, after the artist has been identified but before the Show Name is constructed, TLO looks within that artist's DB master/alias family for a Proper Grammar output spelling. Prefer an article-suffix alias such as Kinks, The when it exists. For person-style comma aliases such as Smith, John, accept the alias only when its swapped spelling corresponds to another known master/alias for the same artist; a comma alone is not sufficient, so ordinary comma-bearing artist names such as Emerson, Lake &amp; Palmer are not reinterpreted. If no qualifying alias exists, use the ordinary current result.</w:t>
      </w:r>
    </w:p>
    <w:p>
      <w:pPr>
        <w:pStyle w:val="ListBullet"/>
        <w:numPr>
          <w:ilvl w:val="0"/>
          <w:numId w:val="1"/>
        </w:numPr>
        <w:rPr/>
      </w:pPr>
      <w:r>
        <w:t>With As-Is Artist Name checked, preserve the artist text from the metadata source used to identify the show, including String1 in compliant patterns, audio tags, path matches, and selected setlist metadata. The Artist DB may still be used to recognize aliases and determine that the artist is known, but Proper Grammar is ignored even when its checkbox is checked. Proper Grammar changes only output spelling and must not alter Artist DB identification, eTreeDB/setlist.fm lookup keys, source precedence, or conflict decisions. When effective, the selected Proper Grammar spelling becomes the Artist used for Show names, generated/exported setlist metadata, tags, Artist-in-Album prefixes, bootlist identity, and Rename Compliantly folder names. Collaborations may apply the preference independently to each uniquely known artist component while retaining the original connector text.</w:t>
      </w:r>
    </w:p>
    <w:p>
      <w:pPr>
        <w:pStyle w:val="Heading1"/>
        <w:rPr/>
      </w:pPr>
      <w:r>
        <w:t>9. Online Venue and Location Lookup</w:t>
      </w:r>
    </w:p>
    <w:p>
      <w:pPr>
        <w:pStyle w:val="ListBullet"/>
        <w:numPr>
          <w:ilvl w:val="0"/>
          <w:numId w:val="1"/>
        </w:numPr>
        <w:rPr/>
      </w:pPr>
      <w:r>
        <w:t>This section is the canonical definition of venue/location source precedence, usable-result criteria, lookup dependencies, and overwrite behavior. The normal order remains path, eTreeDB, selected setlist metadata, then setlist.fm. The only correction exception is the higher-confidence selected-setlist correction rule permitting a higher-confidence selected-setlist venue/location component to replace a value supported solely by weaker path_part evidence. Appendices H and I contain service-specific query, response, and throttling details and must not restate the precedence rules.</w:t>
      </w:r>
    </w:p>
    <w:p>
      <w:pPr>
        <w:pStyle w:val="ListBullet"/>
        <w:numPr>
          <w:ilvl w:val="0"/>
          <w:numId w:val="1"/>
        </w:numPr>
        <w:rPr/>
      </w:pPr>
      <w:r>
        <w:t>In non-compliant mode, venue/location sources are applied in this order: path-derived metadata, eTreeDB, selected setlist metadata, and setlist.fm last. In normal mode, setlist.fm is eligible only when eTreeDB did not return a usable venue/location result for the current Artist and normalized Date. Thorough Setlist Matching is the explicit exception: when enabled and setlist.fm is enabled, TLO may query setlist.fm proactively for corroboration/deconfliction even after a usable eTreeDB result, without giving setlist.fm greater overwrite authority. In compliant mode, selected setlist metadata is not used, so the same path/eTreeDB/setlist.fm ordering applies, with the same Thorough exception.</w:t>
      </w:r>
    </w:p>
    <w:p>
      <w:pPr>
        <w:pStyle w:val="ListBullet"/>
        <w:numPr>
          <w:ilvl w:val="0"/>
          <w:numId w:val="1"/>
        </w:numPr>
        <w:rPr/>
      </w:pPr>
      <w:r>
        <w:t>Every source after path parsing fills blank VENUE, CITY, REGION, COUNTRY, and LOCATION fields only. It must not replace nonblank path-derived, heuristic, venue-list, or selected-setlist values. Non-equivalent disagreements are observations; equivalent values and token-boundary subset/superset values are not disagreements. Captured parentheticals remain appended to the final show name.</w:t>
      </w:r>
    </w:p>
    <w:p>
      <w:pPr>
        <w:pStyle w:val="ListBullet"/>
        <w:numPr>
          <w:ilvl w:val="0"/>
          <w:numId w:val="1"/>
        </w:numPr>
        <w:rPr/>
      </w:pPr>
      <w:r>
        <w:t>A usable online lookup result must match the requested normalized yyyy-mm-dd Date and provide enough data to construct a location: venue and city are required; United States results also require state/stateCode, and non-United States results require country. Incomplete results are observations and do not suppress later eligible sources.</w:t>
      </w:r>
    </w:p>
    <w:p>
      <w:pPr>
        <w:pStyle w:val="Normal"/>
        <w:rPr/>
      </w:pPr>
      <w:r>
        <w:t>--etree-lookup, --setlistfm-lookup, and --setlistfm-upgrade all default to false. The upgrade flag is effective only when setlist.fm lookup is enabled. setlist.fm may be enabled only when eTreeDB is enabled. Command-line startup with --setlistfm-lookup but without --etree-lookup is an error; the GUI must keep the dependency visible by restoring etreeDB when necessary.</w:t>
      </w:r>
    </w:p>
    <w:p>
      <w:pPr>
        <w:pStyle w:val="ListBullet"/>
        <w:numPr>
          <w:ilvl w:val="0"/>
          <w:numId w:val="1"/>
        </w:numPr>
        <w:rPr/>
      </w:pPr>
      <w:r>
        <w:t>eTreeDB resolves the exact artist using artistsRoot(name eq), queries the nested Artist.performances relationship filtered by year, normalizes returned dates locally, and matches the requested yyyy-mm-dd Date. The top-level performances(...) query must not be used. Detailed eTreeDB behavior is in Appendix H.</w:t>
      </w:r>
    </w:p>
    <w:p>
      <w:pPr>
        <w:pStyle w:val="ListBullet"/>
        <w:numPr>
          <w:ilvl w:val="0"/>
          <w:numId w:val="1"/>
        </w:numPr>
        <w:rPr/>
      </w:pPr>
      <w:r>
        <w:t>For tagging-title fallback only, the eTreeDB match may also provide set1, set2, and set3 when local title sources are unavailable. This title fallback does not alter inventory venue/location precedence or overwrite show metadata.</w:t>
      </w:r>
    </w:p>
    <w:p>
      <w:pPr>
        <w:pStyle w:val="ListBullet"/>
        <w:numPr>
          <w:ilvl w:val="0"/>
          <w:numId w:val="1"/>
        </w:numPr>
        <w:rPr/>
      </w:pPr>
      <w:r>
        <w:t>Lookup failures, no matches, invalid dates, and incomplete results must be recorded as observations and processing must continue with the next eligible source while retaining existing metadata.</w:t>
      </w:r>
    </w:p>
    <w:p>
      <w:pPr>
        <w:pStyle w:val="ListBullet"/>
        <w:numPr>
          <w:ilvl w:val="0"/>
          <w:numId w:val="1"/>
        </w:numPr>
        <w:rPr/>
      </w:pPr>
      <w:r>
        <w:t>setlist.fm requires Artist and a normalized yyyy-mm-dd Date. Detailed request construction, result selection, show-name construction, coordination state, throttling, lock timeout, and normal and upgraded quota rules are in Appendix I.</w:t>
      </w:r>
    </w:p>
    <w:p>
      <w:pPr>
        <w:pStyle w:val="ListBullet"/>
        <w:numPr>
          <w:ilvl w:val="0"/>
          <w:numId w:val="1"/>
        </w:numPr>
        <w:rPr/>
      </w:pPr>
      <w:r>
        <w:t>Compliant and non-compliant processing must call the same shared online-lookup functions so lookup behavior is maintained in one implementation path.</w:t>
      </w:r>
    </w:p>
    <w:p>
      <w:pPr>
        <w:pStyle w:val="Normal"/>
        <w:rPr/>
      </w:pPr>
      <w:r/>
    </w:p>
    <w:p>
      <w:pPr>
        <w:pStyle w:val="Heading1"/>
        <w:rPr/>
      </w:pPr>
      <w:r>
        <w:t>10. Unresolved Shows</w:t>
      </w:r>
    </w:p>
    <w:p>
      <w:pPr>
        <w:pStyle w:val="ListBullet"/>
        <w:numPr>
          <w:ilvl w:val="0"/>
          <w:numId w:val="1"/>
        </w:numPr>
        <w:rPr/>
      </w:pPr>
      <w:r>
        <w:t>A blank Artist does not by itself make a record unresolved when an explicit compliant fallback rule has already produced a nonblank SHOW_NAME. A record is unresolved for output purposes when SHOW_NAME is blank; then its path is added to the to-be-resolved/unidentified list under the rules below.</w:t>
      </w:r>
    </w:p>
    <w:p>
      <w:pPr>
        <w:pStyle w:val="ListBullet"/>
        <w:numPr>
          <w:ilvl w:val="0"/>
          <w:numId w:val="1"/>
        </w:numPr>
        <w:rPr/>
      </w:pPr>
      <w:r>
        <w:t>Maintain an overall running list of directories that do not resolve. Reasons include artist conflict, unable to identify artist, and date conflict. Missing date by itself is not unresolved when an artist is identified and no date conflict exists, except where a compliant-mode rule explicitly keeps the date blank.</w:t>
      </w:r>
    </w:p>
    <w:p>
      <w:pPr>
        <w:pStyle w:val="ListBullet"/>
        <w:numPr>
          <w:ilvl w:val="0"/>
          <w:numId w:val="1"/>
        </w:numPr>
        <w:rPr/>
      </w:pPr>
      <w:r>
        <w:t>TLOHome/unidentifiedShows.txt is a persistent unresolved-show review list. Preserve prior unresolved entries in their existing encounter order, append newly unresolved paths in current-run encounter order, and de-duplicate without alphabetically sorting the file. When a path that is already in the file is processed again and the current metadata record now has a resolved nonblank SHOW_NAME, remove that prior unresolved entry. If a rename occurred, ORIGINAL_MAIN_DIR_PATH is also an addressed alias for removing the stale prior entry. A path that remains unresolved in the current run must remain listed, and an old entry that was not processed in the current run must not be removed merely because it was absent from current metadata.</w:t>
      </w:r>
    </w:p>
    <w:p>
      <w:pPr>
        <w:pStyle w:val="ListBullet"/>
        <w:numPr>
          <w:ilvl w:val="0"/>
          <w:numId w:val="1"/>
        </w:numPr>
        <w:rPr/>
      </w:pPr>
      <w:r>
        <w:t>Append new unresolved paths in encounter order and remove duplicates without sorting. Do not alphabetically reorder either prior unresolved entries or newly appended entries.</w:t>
      </w:r>
    </w:p>
    <w:p>
      <w:pPr>
        <w:pStyle w:val="ListBullet"/>
        <w:numPr>
          <w:ilvl w:val="0"/>
          <w:numId w:val="1"/>
        </w:numPr>
        <w:rPr/>
      </w:pPr>
      <w:r>
        <w:t>Include a bootlist/output CSV row whenever SHOW_NAME is nonblank and the row otherwise satisfies the inventory-output rules, even when Artist is blank under an explicitly supported compliant fallback. Do not create a bootlist row for a record whose SHOW_NAME is blank.</w:t>
      </w:r>
    </w:p>
    <w:p>
      <w:pPr>
        <w:pStyle w:val="ListBullet"/>
        <w:numPr>
          <w:ilvl w:val="0"/>
          <w:numId w:val="1"/>
        </w:numPr>
        <w:rPr/>
      </w:pPr>
      <w:r>
        <w:t>If the show name is blank, write the MAIN_DIR_PATH to TLOHome/unidentifiedShows.txt.</w:t>
      </w:r>
    </w:p>
    <w:p>
      <w:pPr>
        <w:pStyle w:val="ListBullet"/>
        <w:numPr>
          <w:ilvl w:val="0"/>
          <w:numId w:val="1"/>
        </w:numPr>
        <w:rPr/>
      </w:pPr>
      <w:r>
        <w:t>Postprocess must independently scan all meta*.log metadata records for blank SHOW_NAME values before or separately from bootlist row generation. If SHOW_NAME is blank and MAIN_DIR_PATH exists, the path must be written to TLOHome/unidentifiedShows.txt even if the conflict log did not capture the unresolved condition.</w:t>
      </w:r>
    </w:p>
    <w:p>
      <w:pPr>
        <w:pStyle w:val="ListBullet"/>
        <w:numPr>
          <w:ilvl w:val="0"/>
          <w:numId w:val="1"/>
        </w:numPr>
        <w:rPr/>
      </w:pPr>
      <w:r>
        <w:t>Blank-show reporting must not depend solely on whether a bootlist row is created, skipped, or reconstructed during aggregation. The unidentifiedShows.txt file must represent every metadata record with a blank SHOW_NAME.</w:t>
      </w:r>
    </w:p>
    <w:p>
      <w:pPr>
        <w:pStyle w:val="ListBullet"/>
        <w:numPr>
          <w:ilvl w:val="0"/>
          <w:numId w:val="1"/>
        </w:numPr>
        <w:rPr/>
      </w:pPr>
      <w:r>
        <w:t>The unidentifiedShows.txt format is one path per line with no delimiters, prefixes, or suffixes.</w:t>
      </w:r>
    </w:p>
    <w:p>
      <w:pPr>
        <w:pStyle w:val="Heading2"/>
        <w:rPr/>
      </w:pPr>
      <w:r>
        <w:t>10.1 Date Conflict and Missing Date Outcomes</w:t>
      </w:r>
    </w:p>
    <w:p>
      <w:pPr>
        <w:pStyle w:val="ListBullet"/>
        <w:numPr>
          <w:ilvl w:val="0"/>
          <w:numId w:val="1"/>
        </w:numPr>
        <w:rPr/>
      </w:pPr>
      <w:r>
        <w:t>Apply the following outcomes for missing dates, date conflicts, and unresolved handling.</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tcPr>
          <w:p>
            <w:pPr>
              <w:pStyle w:val="Normal"/>
              <w:spacing w:before="0" w:after="0"/>
              <w:rPr/>
            </w:pPr>
            <w:r>
              <w:rPr>
                <w:sz w:val="16"/>
              </w:rPr>
              <w:t>Case</w:t>
            </w:r>
          </w:p>
        </w:tc>
        <w:tc>
          <w:tcPr>
            <w:tcW w:w="1728" w:type="dxa"/>
            <w:tcBorders/>
          </w:tcPr>
          <w:p>
            <w:pPr>
              <w:pStyle w:val="Normal"/>
              <w:spacing w:before="0" w:after="0"/>
              <w:rPr/>
            </w:pPr>
            <w:r>
              <w:rPr>
                <w:sz w:val="16"/>
              </w:rPr>
              <w:t>Artist identified?</w:t>
            </w:r>
          </w:p>
        </w:tc>
        <w:tc>
          <w:tcPr>
            <w:tcW w:w="1728" w:type="dxa"/>
            <w:tcBorders/>
          </w:tcPr>
          <w:p>
            <w:pPr>
              <w:pStyle w:val="Normal"/>
              <w:spacing w:before="0" w:after="0"/>
              <w:rPr/>
            </w:pPr>
            <w:r>
              <w:rPr>
                <w:sz w:val="16"/>
              </w:rPr>
              <w:t>Date found?</w:t>
            </w:r>
          </w:p>
        </w:tc>
        <w:tc>
          <w:tcPr>
            <w:tcW w:w="1728" w:type="dxa"/>
            <w:tcBorders/>
          </w:tcPr>
          <w:p>
            <w:pPr>
              <w:pStyle w:val="Normal"/>
              <w:spacing w:before="0" w:after="0"/>
              <w:rPr/>
            </w:pPr>
            <w:r>
              <w:rPr>
                <w:sz w:val="16"/>
              </w:rPr>
              <w:t>Date conflict?</w:t>
            </w:r>
          </w:p>
        </w:tc>
        <w:tc>
          <w:tcPr>
            <w:tcW w:w="1728" w:type="dxa"/>
            <w:tcBorders/>
          </w:tcPr>
          <w:p>
            <w:pPr>
              <w:pStyle w:val="Normal"/>
              <w:spacing w:before="0" w:after="0"/>
              <w:rPr/>
            </w:pPr>
            <w:r>
              <w:rPr>
                <w:sz w:val="16"/>
              </w:rPr>
              <w:t>Required result</w:t>
            </w:r>
          </w:p>
        </w:tc>
      </w:tr>
      <w:tr>
        <w:trPr/>
        <w:tc>
          <w:tcPr>
            <w:tcW w:w="1728" w:type="dxa"/>
            <w:tcBorders/>
          </w:tcPr>
          <w:p>
            <w:pPr>
              <w:pStyle w:val="Normal"/>
              <w:spacing w:before="0" w:after="0"/>
              <w:rPr/>
            </w:pPr>
            <w:r>
              <w:rPr>
                <w:sz w:val="16"/>
              </w:rPr>
              <w:t>A</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normalized date; create show name.</w:t>
            </w:r>
          </w:p>
        </w:tc>
      </w:tr>
      <w:tr>
        <w:trPr/>
        <w:tc>
          <w:tcPr>
            <w:tcW w:w="1728" w:type="dxa"/>
            <w:tcBorders/>
          </w:tcPr>
          <w:p>
            <w:pPr>
              <w:pStyle w:val="Normal"/>
              <w:spacing w:before="0" w:after="0"/>
              <w:rPr/>
            </w:pPr>
            <w:r>
              <w:rPr>
                <w:sz w:val="16"/>
              </w:rPr>
              <w:t>B</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Set date to xxxx-xx-xx; create show name.</w:t>
            </w:r>
          </w:p>
        </w:tc>
      </w:tr>
      <w:tr>
        <w:trPr/>
        <w:tc>
          <w:tcPr>
            <w:tcW w:w="1728" w:type="dxa"/>
            <w:tcBorders/>
          </w:tcPr>
          <w:p>
            <w:pPr>
              <w:pStyle w:val="Normal"/>
              <w:spacing w:before="0" w:after="0"/>
              <w:rPr/>
            </w:pPr>
            <w:r>
              <w:rPr>
                <w:sz w:val="16"/>
              </w:rPr>
              <w:t>C</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Leave date blank; mark unresolved due to date conflict; do not create show name.</w:t>
            </w:r>
          </w:p>
        </w:tc>
      </w:tr>
      <w:tr>
        <w:trPr/>
        <w:tc>
          <w:tcPr>
            <w:tcW w:w="1728" w:type="dxa"/>
            <w:tcBorders/>
          </w:tcPr>
          <w:p>
            <w:pPr>
              <w:pStyle w:val="Normal"/>
              <w:spacing w:before="0" w:after="0"/>
              <w:rPr/>
            </w:pPr>
            <w:r>
              <w:rPr>
                <w:sz w:val="16"/>
              </w:rPr>
              <w:t>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do not create show name.</w:t>
            </w:r>
          </w:p>
        </w:tc>
      </w:tr>
      <w:tr>
        <w:trPr/>
        <w:tc>
          <w:tcPr>
            <w:tcW w:w="1728" w:type="dxa"/>
            <w:tcBorders/>
          </w:tcPr>
          <w:p>
            <w:pPr>
              <w:pStyle w:val="Normal"/>
              <w:spacing w:before="0" w:after="0"/>
              <w:rPr/>
            </w:pPr>
            <w:r>
              <w:rPr>
                <w:sz w:val="16"/>
              </w:rPr>
              <w:t>E</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and missing date; do not create show name.</w:t>
            </w:r>
          </w:p>
        </w:tc>
      </w:tr>
      <w:tr>
        <w:trPr/>
        <w:tc>
          <w:tcPr>
            <w:tcW w:w="1728" w:type="dxa"/>
            <w:tcBorders/>
          </w:tcPr>
          <w:p>
            <w:pPr>
              <w:pStyle w:val="Normal"/>
              <w:spacing w:before="0" w:after="0"/>
              <w:rPr/>
            </w:pPr>
            <w:r>
              <w:rPr>
                <w:sz w:val="16"/>
              </w:rPr>
              <w:t>F</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Mark unresolved due to missing artist and date conflict; do not create show name.</w:t>
            </w:r>
          </w:p>
        </w:tc>
      </w:tr>
      <w:tr>
        <w:trPr/>
        <w:tc>
          <w:tcPr>
            <w:tcW w:w="1728" w:type="dxa"/>
            <w:tcBorders/>
          </w:tcPr>
          <w:p>
            <w:pPr>
              <w:pStyle w:val="Normal"/>
              <w:spacing w:before="0" w:after="0"/>
              <w:rPr/>
            </w:pPr>
            <w:r>
              <w:rPr>
                <w:sz w:val="16"/>
              </w:rPr>
              <w:t>G</w:t>
            </w:r>
          </w:p>
        </w:tc>
        <w:tc>
          <w:tcPr>
            <w:tcW w:w="1728" w:type="dxa"/>
            <w:tcBorders/>
          </w:tcPr>
          <w:p>
            <w:pPr>
              <w:pStyle w:val="Normal"/>
              <w:spacing w:before="0" w:after="0"/>
              <w:rPr/>
            </w:pPr>
            <w:r>
              <w:rPr>
                <w:sz w:val="16"/>
              </w:rPr>
              <w:t>Slam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slam artist; set date to xxxx-xx-xx; create show name.</w:t>
            </w:r>
          </w:p>
        </w:tc>
      </w:tr>
      <w:tr>
        <w:trPr/>
        <w:tc>
          <w:tcPr>
            <w:tcW w:w="1728" w:type="dxa"/>
            <w:tcBorders/>
          </w:tcPr>
          <w:p>
            <w:pPr>
              <w:pStyle w:val="Normal"/>
              <w:spacing w:before="0" w:after="0"/>
              <w:rPr/>
            </w:pPr>
            <w:r>
              <w:rPr>
                <w:sz w:val="16"/>
              </w:rPr>
              <w:t>H</w:t>
            </w:r>
          </w:p>
        </w:tc>
        <w:tc>
          <w:tcPr>
            <w:tcW w:w="1728" w:type="dxa"/>
            <w:tcBorders/>
          </w:tcPr>
          <w:p>
            <w:pPr>
              <w:pStyle w:val="Normal"/>
              <w:spacing w:before="0" w:after="0"/>
              <w:rPr/>
            </w:pPr>
            <w:r>
              <w:rPr>
                <w:sz w:val="16"/>
              </w:rPr>
              <w:t>Tag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tag artist; set date to xxxx-xx-xx; create show name.</w:t>
            </w:r>
          </w:p>
        </w:tc>
      </w:tr>
      <w:tr>
        <w:trPr/>
        <w:tc>
          <w:tcPr>
            <w:tcW w:w="1728" w:type="dxa"/>
            <w:tcBorders/>
          </w:tcPr>
          <w:p>
            <w:pPr>
              <w:pStyle w:val="Normal"/>
              <w:spacing w:before="0" w:after="0"/>
              <w:rPr/>
            </w:pPr>
            <w:r>
              <w:rPr>
                <w:sz w:val="16"/>
              </w:rPr>
              <w:t>I</w:t>
            </w:r>
          </w:p>
        </w:tc>
        <w:tc>
          <w:tcPr>
            <w:tcW w:w="1728" w:type="dxa"/>
            <w:tcBorders/>
          </w:tcPr>
          <w:p>
            <w:pPr>
              <w:pStyle w:val="Normal"/>
              <w:spacing w:before="0" w:after="0"/>
              <w:rPr/>
            </w:pPr>
            <w:r>
              <w:rPr>
                <w:sz w:val="16"/>
              </w:rPr>
              <w:t>Compliant String1 - String2</w:t>
            </w:r>
          </w:p>
        </w:tc>
        <w:tc>
          <w:tcPr>
            <w:tcW w:w="1728" w:type="dxa"/>
            <w:tcBorders/>
          </w:tcPr>
          <w:p>
            <w:pPr>
              <w:pStyle w:val="Normal"/>
              <w:spacing w:before="0" w:after="0"/>
              <w:rPr/>
            </w:pPr>
            <w:r>
              <w:rPr>
                <w:sz w:val="16"/>
              </w:rPr>
              <w:t>No date by pattern</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Do not assign xxxx-xx-xx; show name is Artist - String2.</w:t>
            </w:r>
          </w:p>
        </w:tc>
      </w:tr>
      <w:tr>
        <w:trPr/>
        <w:tc>
          <w:tcPr>
            <w:tcW w:w="1728" w:type="dxa"/>
            <w:tcBorders/>
          </w:tcPr>
          <w:p>
            <w:pPr>
              <w:pStyle w:val="Normal"/>
              <w:spacing w:before="0" w:after="0"/>
              <w:rPr/>
            </w:pPr>
            <w:r>
              <w:rPr>
                <w:sz w:val="16"/>
              </w:rPr>
              <w:t>J</w:t>
            </w:r>
          </w:p>
        </w:tc>
        <w:tc>
          <w:tcPr>
            <w:tcW w:w="1728" w:type="dxa"/>
            <w:tcBorders/>
          </w:tcPr>
          <w:p>
            <w:pPr>
              <w:pStyle w:val="Normal"/>
              <w:spacing w:before="0" w:after="0"/>
              <w:rPr/>
            </w:pPr>
            <w:r>
              <w:rPr>
                <w:sz w:val="16"/>
              </w:rPr>
              <w:t>Compliant final folder fallback</w:t>
            </w:r>
          </w:p>
        </w:tc>
        <w:tc>
          <w:tcPr>
            <w:tcW w:w="1728" w:type="dxa"/>
            <w:tcBorders/>
          </w:tcPr>
          <w:p>
            <w:pPr>
              <w:pStyle w:val="Normal"/>
              <w:spacing w:before="0" w:after="0"/>
              <w:rPr/>
            </w:pPr>
            <w:r>
              <w:rPr>
                <w:sz w:val="16"/>
              </w:rPr>
              <w:t>No structured metadata</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folder name as Show name; leave Artist, Date, Venue, and Location blank.</w:t>
            </w:r>
          </w:p>
        </w:tc>
      </w:tr>
    </w:tbl>
    <w:p>
      <w:pPr>
        <w:pStyle w:val="Heading1"/>
        <w:rPr/>
      </w:pPr>
      <w:r>
        <w:t>11. Aggregator Requirements</w:t>
      </w:r>
    </w:p>
    <w:p>
      <w:pPr>
        <w:pStyle w:val="ListBullet"/>
        <w:numPr>
          <w:ilvl w:val="0"/>
          <w:numId w:val="1"/>
        </w:numPr>
        <w:rPr/>
      </w:pPr>
      <w:r>
        <w:t>Generated setlist filenames must preserve parentheses. Captured parentheticals must be included in the filename base when present.</w:t>
      </w:r>
    </w:p>
    <w:p>
      <w:pPr>
        <w:pStyle w:val="ListBullet"/>
        <w:numPr>
          <w:ilvl w:val="0"/>
          <w:numId w:val="1"/>
        </w:numPr>
        <w:rPr/>
      </w:pPr>
      <w:r>
        <w:t>When postprocess is invoked without a completed in-memory current-run metadata result, it may read the selected matching meta*.log files from TLOHome/logs as its source. When inventory scanning has completed and current-run metadata records have been supplied, that in-memory list is authoritative even when it is empty; postprocess must not fall back to rereading a reused historical token merely because the list contains zero records.</w:t>
      </w:r>
    </w:p>
    <w:p>
      <w:pPr>
        <w:pStyle w:val="ListBullet"/>
        <w:numPr>
          <w:ilvl w:val="0"/>
          <w:numId w:val="1"/>
        </w:numPr>
        <w:rPr/>
      </w:pPr>
      <w:r>
        <w:t>If the date is blank but the artist is defined and no date conflict exists, set the date to xxxx-xx-xx and establish the show name, except for compliant String1 - String2, non-compliant String1 - String2 album fallback, and compliant final folder fallback cases defined in Section 10.1.</w:t>
      </w:r>
    </w:p>
    <w:p>
      <w:pPr>
        <w:pStyle w:val="ListBullet"/>
      </w:pPr>
      <w:r>
        <w:t>Unknown-date descriptor fallback: when Date is exactly xxxx-xx-xx and both Venue and Location are blank, TLO may derive a separate non-geographic Descriptor so a collection/show can retain a useful identity without inventing venue/location metadata. Descriptor evidence is ranked conservatively from the selected/local setlist metadata region: explicit Title/Release/Collection/Bootleg/Event/Session/Broadcast/Program/Show/Recording/Descriptor labels first; strong broadcast/session/rehearsal/soundcheck/demo/collection/archive-style header text next; quoted or decorated release titles next; then a concise title-like header that is separated from the track list; then a descriptive setlist filename; and finally meaningful main-directory residue after removing artist/date, disc/set/part, and technical-format tokens. Header scanning must stop at the first track-list/checksum boundary. Artist-only/date-only lines, technical lineage, disc/CD/set labels, generic housekeeping names, sentence prose, and track-like rows are rejected. The automatic minimum score is 60 and the stored Descriptor is capped at 60 characters. The Descriptor must never populate Venue, City, Region, Country, or Location. When used, SHOW_NAME becomes Artist xxxx-xx-xx Descriptor (plus any established qualifier/parentheticals), metadata logs include DESCRIPTOR and DESCRIPTOR_SOURCE, and generated setlist filenames use the same descriptor. If no safe descriptor exists, retain the existing Artist xxxx-xx-xx behavior.</w:t>
      </w:r>
    </w:p>
    <w:p>
      <w:pPr>
        <w:pStyle w:val="ListBullet"/>
        <w:numPr>
          <w:ilvl w:val="0"/>
          <w:numId w:val="1"/>
        </w:numPr>
        <w:rPr/>
      </w:pPr>
      <w:r>
        <w:t>If a show name is established, append a space and PARENTHETICALS to the end of the show name, preserving multiple parentheticals in their original order. This is a universal finalization rule for compliant and non-compliant show-name construction, including String1 Date, String1 Date String2, String1 - String2, lookup-enriched names, Add Shows records, Dry Run output, bootlist rows, folder renames, generated setlists, and audio Album tags. Path cleanup must never discard the cached value. For example, Danny Gatton 1994-03-13 Bottom Line NYC (set 2) resolves to Danny Gatton 1994-03-13 Bottom Line New York, NY (set 2).</w:t>
      </w:r>
    </w:p>
    <w:p>
      <w:pPr>
        <w:pStyle w:val="ListBullet"/>
        <w:numPr>
          <w:ilvl w:val="0"/>
          <w:numId w:val="1"/>
        </w:numPr>
        <w:rPr/>
      </w:pPr>
      <w:r>
        <w:t>The aggregator must continue to work with short token metadata logs such as metaX.log.</w:t>
      </w:r>
    </w:p>
    <w:p>
      <w:pPr>
        <w:pStyle w:val="ListBullet"/>
        <w:numPr>
          <w:ilvl w:val="0"/>
          <w:numId w:val="1"/>
        </w:numPr>
        <w:rPr/>
      </w:pPr>
      <w:r>
        <w:t>Direct/legacy postprocess callers that have not supplied authoritative completed current-run metadata may read matching meta*.log files from TLOHome/logs. Completed inventory runs use their authoritative in-memory current-run metadata and apply the keep/replace volume/path policy to existing bootlist rows.</w:t>
      </w:r>
    </w:p>
    <w:p>
      <w:pPr>
        <w:pStyle w:val="ListBullet"/>
        <w:numPr>
          <w:ilvl w:val="0"/>
          <w:numId w:val="1"/>
        </w:numPr>
        <w:rPr/>
      </w:pPr>
      <w:r>
        <w:t>For every non-skipped bootlist row, postprocess must resolve an exported setlist .txt file under TLOHome/setlists. bootlist.csv must contain exactly two caret-separated data columns after the sep=^ line: column 1 is Show, and column 2 is VolumePath formatted as [Volume] Path, where Path is stored without the drive letter or WSL /mnt/&lt;drive&gt; prefix. The exported setlist filename remains generated and resolved under TLOHome/setlists, but bootlist.csv must not include separate Setlist, Volume, or Path columns. Deterministic volume/path replacement controls which previous rows are kept: exact or parent re-inventory replaces rows under the replaced scope, child re-inventory replaces rows under the child scope, non-overlapping same-volume paths preserve unrelated rows, and blank-label runs append without replacement. If the generated setlist filename collides with an existing TLOHome/setlists file, compare the exact bytes that would be written. A size match is only a fast precheck; reuse the existing filename only when a SHA-256 digest of the existing file matches the SHA-256 digest of the exact new output bytes. If contents differ, including equal-size different-content files, write the new file with (altN) appended to the base filename before .txt, where N is one greater than the highest existing alternate number for that base. The prior plain trailing-integer and (dupN) collision suffixes are not used for new generated setlist files. During a path-scoped re-inventory, the pre-existing rows selected by these same volume/path replacement rules form the previous-row population for the re-inventory reconciliation required by Section 1.4; later copy/delete provenance or the log token that originally created a row must not exclude a row that currently lies inside the replacement scope. When serialized for spreadsheet consumption, a cell beginning with =, +, -, @, tab, CR, or LF must be apostrophe-prefixed so spreadsheet software does not evaluate it as a formula; Escaping and unescaping must be round-trip safe, including cells whose original value already begins with one or more apostrophes; TLO must remove only the protective apostrophe that TLO itself added when reading the CSV back.</w:t>
      </w:r>
    </w:p>
    <w:p>
      <w:pPr>
        <w:pStyle w:val="ListBullet"/>
        <w:numPr>
          <w:ilvl w:val="0"/>
          <w:numId w:val="1"/>
        </w:numPr>
        <w:rPr/>
      </w:pPr>
      <w:r>
        <w:t>For aggregated wrapper-part records, postprocess must export one setlist file per bootlist row using the concatenation and de-duplication rules in Section 7.19.</w:t>
      </w:r>
    </w:p>
    <w:p>
      <w:pPr>
        <w:pStyle w:val="ListBullet"/>
        <w:numPr>
          <w:ilvl w:val="0"/>
          <w:numId w:val="1"/>
        </w:numPr>
        <w:rPr/>
      </w:pPr>
      <w:r>
        <w:t>The aggregator must use meta*.log as an independent source for blank-show reporting (see Section 10).</w:t>
      </w:r>
    </w:p>
    <w:p>
      <w:pPr>
        <w:pStyle w:val="Heading1"/>
        <w:rPr/>
      </w:pPr>
      <w:r>
        <w:t>12. Logging Requirements (see Appendix E8)</w:t>
      </w:r>
    </w:p>
    <w:p>
      <w:pPr>
        <w:pStyle w:val="ListBullet"/>
        <w:numPr>
          <w:ilvl w:val="0"/>
          <w:numId w:val="1"/>
        </w:numPr>
        <w:rPr/>
      </w:pPr>
      <w:r>
        <w:t>All inventory log files must be written under TLOHome/logs instead of directly under TLOHome.</w:t>
      </w:r>
    </w:p>
    <w:p>
      <w:pPr>
        <w:pStyle w:val="ListBullet"/>
      </w:pPr>
      <w:r>
        <w:t>Maintain one append-only settings log at TLOHome/logs/runSettings.log for every started Full Inventory, Tag, Process New Shows, and Process Potential Duplicate/Upgrades action, including Dry Runs and command-line Inventory or Tag runs. The first line of each entry must identify the action, local date, and local time. The following lines must reproduce the same operation, path, main-window checkbox values, action-specific settings, performance or destination information, and original-file-change statement shown in the Review Operation confirmation window. Separate entries with a blank line. A GUI entry is appended only after the user chooses Start; choosing Go Back or closing the confirmation window must not create an entry. If the settings entry cannot be written, the operation must not start and the user must receive a readable error.</w:t>
      </w:r>
    </w:p>
    <w:p>
      <w:pPr>
        <w:pStyle w:val="ListBullet"/>
        <w:numPr>
          <w:ilvl w:val="0"/>
          <w:numId w:val="1"/>
        </w:numPr>
        <w:rPr/>
      </w:pPr>
      <w:r>
        <w:t>The short tokenized log names remain unchanged inside TLOHome/logs: confX.log, deadX.log, compX.log, dupsX.log, groupsX.log, metaX.log, tagsX.txt, and tageX.txt.</w:t>
      </w:r>
    </w:p>
    <w:p>
      <w:r>
        <w:t>Each SHOW_NAME metadata entry written to meta*.log must include a per-entry switches line immediately after SHOW_IN_CONFLICT. The line starts with "Switches --" and records the effective settings for that inventory item, including Action, Compliant, As-Is Artist Name, Proper Grammar, Tag, Tag In Place, Tag Copy, Tag Copy/Delete Original, Rename Compliantly, Convert shn, Artist in Album, Delete Extra Tags, etreeDB, setlist.fm, setlist.fm Upgrade, and Thorough Setlist Matching. Example: "Switches -- Action: Full Inventory; Compliant: no; As-Is Artist Name: no; Proper Grammar: no; Tag: yes; Tag In Place: yes; Tag Copy: no; Tag Copy/Delete Original: no; Rename Compliantly: no; Convert shn: yes; Artist in Album: yes; Delete Extra Tags: no; etreeDB: yes; setlist.fm: no; setlist.fm Upgrade: no; Thorough Setlist Matching: no;". Add Shows entries use Action: Add Shows and record only settings active for that Add Shows item. Every machine-parsed TLO log entry must remain one physical line: embedded control characters in paths, tag values, online error text, observations, conflicts, and tag output are encoded before persistence. Readers of meta logs must reject a record containing duplicate single-valued identity keys instead of accepting a later overwrite.</w:t>
      </w:r>
    </w:p>
    <w:p>
      <w:pPr>
        <w:pStyle w:val="ListBullet"/>
        <w:numPr>
          <w:ilvl w:val="0"/>
          <w:numId w:val="1"/>
        </w:numPr>
        <w:rPr/>
      </w:pPr>
      <w:r>
        <w:t>Token allocation must check TLOHome/logs for collisions.</w:t>
      </w:r>
    </w:p>
    <w:p>
      <w:pPr>
        <w:pStyle w:val="ListBullet"/>
        <w:numPr>
          <w:ilvl w:val="0"/>
          <w:numId w:val="1"/>
        </w:numPr>
        <w:rPr/>
      </w:pPr>
      <w:r>
        <w:t>Ctrl-C and GUI Quit cleanup must delete only tokenized logs whose tokens were newly allocated by the interrupted run, after active workers have been asked to stop. Reused pre-existing tokens are never deleted wholesale; any run-specific appended/replacement content is handled by the established token/log reconciliation policy.</w:t>
      </w:r>
    </w:p>
    <w:p>
      <w:pPr>
        <w:pStyle w:val="ListBullet"/>
        <w:numPr>
          <w:ilvl w:val="0"/>
          <w:numId w:val="1"/>
        </w:numPr>
        <w:rPr/>
      </w:pPr>
      <w:r>
        <w:t>Postprocess must create TLOHome/logs/summary.log.</w:t>
      </w:r>
    </w:p>
    <w:p>
      <w:pPr>
        <w:numPr>
          <w:ilvl w:val="0"/>
          <w:numId w:val="1"/>
        </w:numPr>
        <w:rPr/>
      </w:pPr>
      <w:r>
        <w:t>Postprocess must maintain TLOHome/logs/reinventoryDelta.log as an append-only diagnostic history for path-scoped re-inventory runs. Each entry must begin with a timestamp and contain the reconciliation fields defined in Section 1.4. Runs that do not replace a path scope do not add an entry.</w:t>
      </w:r>
    </w:p>
    <w:p>
      <w:pPr>
        <w:pStyle w:val="ListBullet"/>
        <w:numPr>
          <w:ilvl w:val="0"/>
          <w:numId w:val="1"/>
        </w:numPr>
        <w:rPr/>
      </w:pPr>
      <w:r>
        <w:t>summary.log must consolidate conflict entries from all conf*.log files in TLOHome/logs and unresolved blank-show metadata records from all meta*.log files. Conflict entries should include the source conflict-log filename, search path when known, and the conflict text. Blank-show entries should include the MAIN_DIR_PATH and the reason, including blank SHOW_NAME and, when applicable, blank ARTIST or SHOW_IN_CONFLICT=yes.</w:t>
      </w:r>
    </w:p>
    <w:p>
      <w:pPr>
        <w:pStyle w:val="ListBullet"/>
        <w:numPr>
          <w:ilvl w:val="0"/>
          <w:numId w:val="1"/>
        </w:numPr>
        <w:rPr/>
      </w:pPr>
      <w:r>
        <w:t>Use short anchor log filenames that do not include the search path in the filename. (see Appendix E8)</w:t>
      </w:r>
    </w:p>
    <w:p>
      <w:pPr>
        <w:pStyle w:val="ListBullet"/>
        <w:numPr>
          <w:ilvl w:val="0"/>
          <w:numId w:val="1"/>
        </w:numPr>
        <w:rPr/>
      </w:pPr>
      <w:r>
        <w:t>X is a single letter or number from 0-9 or A-Z that keeps filenames unique across the current set of active search paths.</w:t>
      </w:r>
    </w:p>
    <w:p>
      <w:pPr>
        <w:pStyle w:val="ListBullet"/>
        <w:numPr>
          <w:ilvl w:val="0"/>
          <w:numId w:val="1"/>
        </w:numPr>
        <w:rPr/>
      </w:pPr>
      <w:r>
        <w:t>Before starting workers, check the output directory to avoid filename collisions. If a run would require more than the 36 available one-character tokens, or if existing logs leave too few available one-character tokens, report a readable startup error before writing any tokenized logs.</w:t>
      </w:r>
    </w:p>
    <w:p>
      <w:pPr>
        <w:pStyle w:val="ListBullet"/>
        <w:numPr>
          <w:ilvl w:val="0"/>
          <w:numId w:val="1"/>
        </w:numPr>
        <w:rPr/>
      </w:pPr>
      <w:r>
        <w:t>Choose token values by visible volume label. One token may represent multiple non-overlapping paths on the same visible volume. The top of each tokenized log must list one SEARCH_PATH line for each stored rootless path in that token. The visible search path format is [Volume] Path, where Volume is the normalized bracketed value or operating-system volume label, and Path excludes the drive letter or WSL /mnt/&lt;drive&gt; prefix. If the visible volume is blank, write SEARCH_PATH: [] with no path.</w:t>
      </w:r>
    </w:p>
    <w:p>
      <w:pPr>
        <w:pStyle w:val="ListBullet"/>
        <w:numPr>
          <w:ilvl w:val="0"/>
          <w:numId w:val="1"/>
        </w:numPr>
        <w:rPr/>
      </w:pPr>
      <w:r>
        <w:t>Pass the token to workers so workers access the correct log files.</w:t>
      </w:r>
    </w:p>
    <w:p>
      <w:pPr>
        <w:pStyle w:val="ListBullet"/>
        <w:numPr>
          <w:ilvl w:val="0"/>
          <w:numId w:val="1"/>
        </w:numPr>
        <w:rPr/>
      </w:pPr>
      <w:r>
        <w:t>Exactly one inventory-mutating run may be active for a given TLOHome at a time. TLO must enforce this with an owned cross-process lock held for the full inventory-mutating run; a second tlo-main/tlo-gi inventory against the same TLOHome must fail before tokenized logging or inventory output mutation begins. Search and unrelated read-only operations are not blocked by this inventory lock. Worker processes within the one accepted inventory run remain the supported inventory concurrency model.</w:t>
      </w:r>
    </w:p>
    <w:p>
      <w:pPr>
        <w:pStyle w:val="ListBullet"/>
        <w:numPr>
          <w:ilvl w:val="0"/>
          <w:numId w:val="1"/>
        </w:numPr>
        <w:rPr/>
      </w:pPr>
      <w:r>
        <w:t>Put a descriptive header at the start of each log file. If a token covers multiple non-overlapping paths on the same visible volume, the header may list multiple paths; if the visible volume label is blank, the header must not include a path.</w:t>
      </w:r>
    </w:p>
    <w:p>
      <w:pPr>
        <w:pStyle w:val="ListBullet"/>
        <w:numPr>
          <w:ilvl w:val="0"/>
          <w:numId w:val="1"/>
        </w:numPr>
        <w:rPr/>
      </w:pPr>
      <w:r>
        <w:t>The dispatcher should know the tokenized log filenames so it can delete them during Ctrl-C or Quit cleanup when necessary.</w:t>
      </w:r>
    </w:p>
    <w:p>
      <w:pPr>
        <w:pStyle w:val="Normal"/>
        <w:rPr/>
      </w:pPr>
      <w:r>
        <w:t>confX.log</w:t>
      </w:r>
    </w:p>
    <w:p>
      <w:pPr>
        <w:pStyle w:val="Normal"/>
        <w:rPr/>
      </w:pPr>
      <w:r>
        <w:t>deadX.log</w:t>
      </w:r>
    </w:p>
    <w:p>
      <w:pPr>
        <w:pStyle w:val="Normal"/>
        <w:rPr/>
      </w:pPr>
      <w:r>
        <w:t>compX.log</w:t>
      </w:r>
    </w:p>
    <w:p>
      <w:pPr>
        <w:pStyle w:val="Normal"/>
        <w:rPr/>
      </w:pPr>
      <w:r>
        <w:t>dupsX.log</w:t>
      </w:r>
    </w:p>
    <w:p>
      <w:pPr>
        <w:pStyle w:val="Normal"/>
        <w:rPr/>
      </w:pPr>
      <w:r>
        <w:t>groupsX.log</w:t>
      </w:r>
    </w:p>
    <w:p>
      <w:pPr>
        <w:pStyle w:val="Normal"/>
        <w:rPr/>
      </w:pPr>
      <w:r>
        <w:t>metaX.log</w:t>
      </w:r>
    </w:p>
    <w:p>
      <w:pPr>
        <w:pStyle w:val="Normal"/>
        <w:rPr/>
      </w:pPr>
      <w:r>
        <w:t>tagsX.txt and tageX.txt</w:t>
      </w:r>
    </w:p>
    <w:p>
      <w:pPr>
        <w:pStyle w:val="Heading1"/>
        <w:rPr/>
      </w:pPr>
      <w:r>
        <w:t>13. Command Line Requirements for tlo-gi.py</w:t>
      </w:r>
    </w:p>
    <w:p>
      <w:pPr>
        <w:pStyle w:val="ListBullet"/>
        <w:numPr>
          <w:ilvl w:val="0"/>
          <w:numId w:val="1"/>
        </w:numPr>
        <w:rPr/>
      </w:pPr>
      <w:r>
        <w:t>For a single --search-path command-line run, --/slam STRING applies the slam artist to that one search path.</w:t>
      </w:r>
    </w:p>
    <w:p>
      <w:pPr>
        <w:pStyle w:val="ListBullet"/>
        <w:numPr>
          <w:ilvl w:val="0"/>
          <w:numId w:val="1"/>
        </w:numPr>
        <w:rPr/>
      </w:pPr>
      <w:r>
        <w:t>For a single --search-path command-line run, --/copy DIR applies Tag Copy to that one search path, using DIR as the destination parent.</w:t>
      </w:r>
    </w:p>
    <w:p>
      <w:pPr>
        <w:pStyle w:val="ListBullet"/>
        <w:numPr>
          <w:ilvl w:val="0"/>
          <w:numId w:val="1"/>
        </w:numPr>
        <w:rPr/>
      </w:pPr>
      <w:r>
        <w:t>For a single --search-path command-line run, --/copy-delete DIR applies Tag Copy/Delete Original to that one search path, using DIR as the destination parent.</w:t>
      </w:r>
    </w:p>
    <w:p>
      <w:pPr>
        <w:pStyle w:val="ListBullet"/>
        <w:numPr>
          <w:ilvl w:val="0"/>
          <w:numId w:val="1"/>
        </w:numPr>
        <w:rPr/>
      </w:pPr>
      <w:r>
        <w:t>--/copy and --/copy-delete are mutually exclusive for one --search-path. If either is supplied without --search-path, startup must report an error and exit.</w:t>
      </w:r>
    </w:p>
    <w:p>
      <w:pPr>
        <w:pStyle w:val="ListBullet"/>
        <w:numPr>
          <w:ilvl w:val="0"/>
          <w:numId w:val="1"/>
        </w:numPr>
        <w:rPr/>
      </w:pPr>
      <w:r>
        <w:t>Command-line and per-entry copy/copy-delete destinations must follow the same startup capacity rules whether they come from a direct Search Path entry, a .txt Search Path control file, or the separate direct-path command-line options: ordinary copy always receives exact source-size preflight, while Copy/Delete Original receives it only when source and destination are on different filesystems.</w:t>
      </w:r>
    </w:p>
    <w:p>
      <w:pPr>
        <w:pStyle w:val="ListBullet"/>
        <w:numPr>
          <w:ilvl w:val="0"/>
          <w:numId w:val="1"/>
        </w:numPr>
        <w:rPr/>
      </w:pPr>
      <w:r>
        <w:t>--setlistfm-lookup command-line gating and online lookup behavior are defined in Section 9; this section lists the CLI-facing options and startup validation requirements.</w:t>
      </w:r>
    </w:p>
    <w:p>
      <w:pPr>
        <w:pStyle w:val="ListBullet"/>
        <w:numPr>
          <w:ilvl w:val="0"/>
          <w:numId w:val="1"/>
        </w:numPr>
        <w:rPr/>
      </w:pPr>
      <w:r>
        <w:t>setlist.fm lookup uses the SETLISTFM_API_KEY environment variable and must not expose or write the API key to logs. setlist.fm Upgrade additionally requires an explicit upgrade-enable variable containing exactly the same API key value as SETLISTFM_API_KEY. The canonical variable is SETLISTFMUPGRADE_API_KEY; SETLISTFM_UPGRADE_API_KEY is also accepted. If --setlistfm-upgrade is supplied while --setlistfm-lookup is off, the upgrade flag is inert and must not cause standalone validation failure. Environment resolution uses an explicit nonblank process/session value first. On Windows, when the corresponding process value is missing or blank because a parent process has a stale environment snapshot, TLO must fall back to the current persisted User/System environment value. A persisted value must not override an explicit process/session value. Neither key value may be displayed or logged.</w:t>
      </w:r>
    </w:p>
    <w:p>
      <w:pPr>
        <w:pStyle w:val="ListBullet"/>
        <w:numPr>
          <w:ilvl w:val="0"/>
          <w:numId w:val="1"/>
        </w:numPr>
        <w:rPr/>
      </w:pPr>
      <w:r>
        <w:t>--compliant defaults to false.</w:t>
      </w:r>
    </w:p>
    <w:p>
      <w:pPr>
        <w:pStyle w:val="ListBullet"/>
        <w:numPr>
          <w:ilvl w:val="0"/>
          <w:numId w:val="1"/>
        </w:numPr>
        <w:rPr/>
      </w:pPr>
      <w:r>
        <w:t>--etree-lookup defaults to false. When true, both non-compliant and compliant modes perform an eTreeDB venue/location lookup after Artist and yyyy-mm-dd Date are identified.</w:t>
      </w:r>
    </w:p>
    <w:p>
      <w:pPr>
        <w:pStyle w:val="ListBullet"/>
        <w:numPr>
          <w:ilvl w:val="0"/>
          <w:numId w:val="1"/>
        </w:numPr>
        <w:rPr/>
      </w:pPr>
      <w:r>
        <w:t>--TLOHome overrides the TLOHome environment variable.</w:t>
      </w:r>
    </w:p>
    <w:p>
      <w:pPr>
        <w:pStyle w:val="ListBullet"/>
        <w:numPr>
          <w:ilvl w:val="0"/>
          <w:numId w:val="1"/>
        </w:numPr>
        <w:rPr/>
      </w:pPr>
      <w:r>
        <w:t>--myTLO behavior and precedence are defined in Section 2.3.</w:t>
      </w:r>
    </w:p>
    <w:p>
      <w:pPr>
        <w:pStyle w:val="ListBullet"/>
        <w:numPr>
          <w:ilvl w:val="0"/>
          <w:numId w:val="1"/>
        </w:numPr>
        <w:rPr/>
      </w:pPr>
      <w:r>
        <w:t>--/slam is valid only with --search-path.</w:t>
      </w:r>
    </w:p>
    <w:p>
      <w:pPr>
        <w:pStyle w:val="ListBullet"/>
        <w:numPr>
          <w:ilvl w:val="0"/>
          <w:numId w:val="1"/>
        </w:numPr>
        <w:rPr/>
      </w:pPr>
      <w:r>
        <w:t>Anything written to the console is blocked only when --silent is set.</w:t>
      </w:r>
    </w:p>
    <w:p>
      <w:pPr>
        <w:pStyle w:val="ListBullet"/>
        <w:numPr>
          <w:ilvl w:val="0"/>
          <w:numId w:val="1"/>
        </w:numPr>
        <w:rPr/>
      </w:pPr>
      <w:r>
        <w:t>Removed arguments must not be present or affect output: --verbose, --flat, --full-logs, --suppress-header, and --interval.</w:t>
      </w:r>
    </w:p>
    <w:p>
      <w:pPr>
        <w:pStyle w:val="ListBullet"/>
        <w:numPr>
          <w:ilvl w:val="0"/>
          <w:numId w:val="1"/>
        </w:numPr>
        <w:rPr/>
      </w:pPr>
      <w:r>
        <w:t>--performance-mode MODE is valid with gentle, balanced, fast, and extreme. CLI default is balanced.</w:t>
      </w:r>
    </w:p>
    <w:p>
      <w:pPr>
        <w:pStyle w:val="ListBullet"/>
        <w:numPr>
          <w:ilvl w:val="0"/>
          <w:numId w:val="1"/>
        </w:numPr>
        <w:rPr/>
      </w:pPr>
      <w:r>
        <w:t>--max-workers N is valid with N &gt;= 0. Zero, performance-mode defaults, extreme-mode display, and parallelizable volume-group caps are defined in Section 2.10.</w:t>
      </w:r>
    </w:p>
    <w:p>
      <w:pPr>
        <w:pStyle w:val="ListBullet"/>
        <w:numPr>
          <w:ilvl w:val="0"/>
          <w:numId w:val="1"/>
        </w:numPr>
        <w:rPr/>
      </w:pPr>
      <w:r>
        <w:t>--tag-during-inventory is valid with no value and defaults to false. When supplied, full inventory Stage 3 tags music files in place and writes concise results to tagsN.txt/tageN.txt under TLOHome/logs. It is mutually exclusive with --tag-copy-during-inventory.</w:t>
      </w:r>
    </w:p>
    <w:p>
      <w:pPr>
        <w:pStyle w:val="ListBullet"/>
        <w:numPr>
          <w:ilvl w:val="0"/>
          <w:numId w:val="1"/>
        </w:numPr>
        <w:rPr/>
      </w:pPr>
      <w:r>
        <w:t>--tag-copy-during-inventory is valid with no value and defaults to false. It requires an existing fully qualified --tag-copy-destination DIR and tags copies while keeping the original source tree as the inventoried location. It is mutually exclusive with --tag-during-inventory.</w:t>
      </w:r>
    </w:p>
    <w:p>
      <w:pPr>
        <w:pStyle w:val="ListBullet"/>
      </w:pPr>
      <w:r>
        <w:t>--tag-copy-delete-original is a tlo-main GUI-launcher flag that enables Tag Copy/Delete Original mode without supplying a destination on the command line. When Inventory or GUI Tag starts, the GUI requests the destination and displays the deletion warning. The flag is distinct from --tag-copy-and-delete DIR, which supplies the destination directly for command-line inventory processing.</w:t>
      </w:r>
    </w:p>
    <w:p>
      <w:pPr>
        <w:pStyle w:val="ListBullet"/>
        <w:numPr>
          <w:ilvl w:val="0"/>
          <w:numId w:val="1"/>
        </w:numPr>
        <w:rPr/>
      </w:pPr>
      <w:r>
        <w:t>--tag-copy-and-delete DIR selects the copy/move, verify, delete-original, and tag-destination workflow. DIR must be an existing fully qualified destination and must pass the startup capacity check.</w:t>
      </w:r>
    </w:p>
    <w:p>
      <w:pPr>
        <w:pStyle w:val="ListBullet"/>
        <w:numPr>
          <w:ilvl w:val="0"/>
          <w:numId w:val="1"/>
        </w:numPr>
        <w:rPr/>
      </w:pPr>
      <w:r>
        <w:t>--rename-compliantly is valid independently of tagging but is mutually exclusive with --compliant. By itself during non-compliant full inventory it renames identified original folders in place without writing audio tags; with a tag/copy mode it applies the resolved show name to the corresponding source or destination.</w:t>
      </w:r>
    </w:p>
    <w:p>
      <w:pPr>
        <w:pStyle w:val="ListBullet"/>
        <w:numPr>
          <w:ilvl w:val="0"/>
          <w:numId w:val="1"/>
        </w:numPr>
        <w:rPr/>
      </w:pPr>
      <w:r>
        <w:t>--convert-shn is valid with no value and defaults to false. When supplied, any .shn or .shnf files encountered during Tag, Full Inventory, or Add Shows are converted to .flac. If tagging is also enabled, conversion must happen before track-title selection and tag writing. If tagging is not enabled, conversion still runs by itself and must not write or change audio metadata tags.</w:t>
      </w:r>
    </w:p>
    <w:p>
      <w:pPr>
        <w:pStyle w:val="ListBullet"/>
        <w:numPr>
          <w:ilvl w:val="0"/>
          <w:numId w:val="1"/>
        </w:numPr>
        <w:rPr/>
      </w:pPr>
      <w:r>
        <w:t>--as-is-artist-name preserves the artist name from the metadata source that identified the show. Without it, a matched Artist DB alias is replaced by the database master artist name. The setting applies to compliant and non-compliant processing.</w:t>
      </w:r>
    </w:p>
    <w:p>
      <w:pPr>
        <w:pStyle w:val="Normal"/>
        <w:rPr/>
      </w:pPr>
      <w:r>
        <w:t>Sections 13 and 13.1 are the canonical command-line option requirements for inventory, the GUI launcher, and standalone Tag. Appendix E8 contains only code-derived GUI, logging, boolean, and support enumerations and cross-references these sections instead of repeating the argument list.</w:t>
      </w:r>
    </w:p>
    <w:p>
      <w:pPr>
        <w:pStyle w:val="Normal"/>
        <w:rPr/>
      </w:pPr>
      <w:r>
        <w:t>Neither the inventory CLI nor tlo-main.py GUI launcher accepts --tag-path or --search-folder for GUI Tag. The --search-folder option, compatibility alias --tag-path, and positional search-folder input belong only to standalone tlo-tag.py and must not affect Full Inventory, GUI Tag, or Add Shows processing.</w:t>
      </w:r>
    </w:p>
    <w:p>
      <w:pPr>
        <w:pStyle w:val="Normal"/>
        <w:rPr/>
      </w:pPr>
      <w:r>
        <w:t>Shared option registry requirement: all non-carve-out inventory/tagger input options must be declared once in tlo_options.py. The registry must define the unchanged command-line flag, one canonical snake_case destination/config field name, kind, default, choices, help text, and GUI presentation metadata when applicable.</w:t>
      </w:r>
    </w:p>
    <w:p>
      <w:pPr>
        <w:pStyle w:val="Normal"/>
        <w:rPr/>
      </w:pPr>
      <w:r>
        <w:t>Generated parsers requirement: tlo-gi.py, tlo-main.py, and tlo-tag.py must build each application's applicable shared options from the registry rather than maintaining independent hand-written copies. TLOHome, the hidden myTLO compatibility argument, --debug [BOOL], and --/slam remain explicit carve-outs where applicable; standalone tlo-tag.py additionally owns its required search-folder input, exposed as positional SEARCH_FOLDER or --search-folder, with --tag-path retained as a compatibility alias. GUI tlo-main.py has no standalone Tag search-folder input.</w:t>
      </w:r>
    </w:p>
    <w:p>
      <w:pPr>
        <w:pStyle w:val="Normal"/>
        <w:rPr/>
      </w:pPr>
      <w:r>
        <w:t>Canonical naming requirement: argparse destinations for generated options must use the canonical snake_case names used by Config, such as tag_during_inventory, etree_lookup, setlistfm_lookup, performance_mode, max_workers, search_path_override, and current_storage_volume. Parser code must not translate from camelCase namespace attributes such as tagDuringInventory, etreeLookup, or setlistFM.</w:t>
      </w:r>
    </w:p>
    <w:p>
      <w:r>
        <w:t>--current-storage-volume controls the Add Shows Current Backup/Storage Drive and Volume field. It supplies the default visible storage label/root used when Add Shows writes or updates bootlist.csv VolumePath rows and duplicate-upgrade delete scripts. It may include a visible label alone or a visible label plus rooted path, such as [Backup-1]E: or [Backup-1]/mnt/e. It does not change the resolved TLOHome.</w:t>
      </w:r>
    </w:p>
    <w:p>
      <w:pPr>
        <w:pStyle w:val="Normal"/>
        <w:rPr/>
      </w:pPr>
      <w:r>
        <w:t>Lookup dependency requirement: setlist.fm requiring eTreeDB must be enforced by one shared function. Startup, CLI, and GUI surfaces must all use that same rule; Section 9 is the canonical behavior description.</w:t>
      </w:r>
    </w:p>
    <w:p>
      <w:pPr>
        <w:pStyle w:val="Normal"/>
        <w:rPr/>
      </w:pPr>
      <w:r>
        <w:t>Max Workers supplied-detection requirement: use argparse.SUPPRESS or an equivalent parser sentinel so GUI startup can distinguish an explicitly supplied positive --max-workers value from the mode-derived automatic ceiling. CLI 0/omission retains normal automatic behavior. At GUI startup, an explicitly supplied positive launcher value is displayed initially; otherwise the selected Performance Mode’s positive automatic ceiling is displayed. Any later Performance Mode selection resets Max Workers to that mode’s automatic ceiling.</w:t>
      </w:r>
    </w:p>
    <w:p>
      <w:pPr>
        <w:pStyle w:val="Normal"/>
        <w:rPr/>
      </w:pPr>
      <w:r>
        <w:t>Debug compatibility requirement: --debug [BOOL] is the sole documented boolean-toggle exception. It may be supplied bare or with true/false, yes/no, y/n, or 1/0. All other generated boolean toggles remain no-value flags.</w:t>
      </w:r>
    </w:p>
    <w:p>
      <w:pPr>
        <w:pStyle w:val="Heading2"/>
        <w:rPr/>
      </w:pPr>
      <w:r>
        <w:t>13.1 Standalone Tagger CLI Requirements for tlo-tag.py</w:t>
      </w:r>
    </w:p>
    <w:p>
      <w:pPr>
        <w:pStyle w:val="Normal"/>
        <w:rPr/>
      </w:pPr>
      <w:r>
        <w:t>Add and maintain a standalone command-line tagger named tlo-tag.py. It shares the same tagging engine and metadata/title rules as the GUI Tag action, but it remains a command-line workflow with its own required search-folder input. The preferred named form is --search-folder DIR; --tag-path DIR remains a compatibility alias, and a positional SEARCH_FOLDER is also accepted. The GUI must not open a separate Tagger child window. Clicking the main-window Tag button must use the master Path(s), including any inline --/slam directives, and current main-window options directly and must report progress/output in the main Inventory window. No duplicated main-window option checkboxes or separate inherited-settings notice may be introduced for GUI Tag because GUI Tag has no child Tag surface.</w:t>
      </w:r>
    </w:p>
    <w:p>
      <w:pPr>
        <w:pStyle w:val="Normal"/>
        <w:rPr/>
      </w:pPr>
      <w:r>
        <w:t>tlo-tag.py must visibly accept --TLOHome STRING, --compliant, a required search folder supplied either as --search-folder DIR or positional SEARCH_FOLDER, and the compatibility alias --tag-path DIR. It must also accept the shared tagging controls --etree-lookup, --setlistfm-lookup, --setlistfm-upgrade, --thorough-setlist-matching, --corrupt-files ACTION, --corrupt-folders POLICY, --corrupt-folder-threshold PERCENT, and --delete-extra-tags and --deep-audio-check, together with the established standalone Tag options for Rename Compliantly, Convert shn, Artist in Album, As-Is Artist Name, and debug. The setlist.fm/eTreeDB dependency and corruption-policy validation must be identical to the inventory command line. For standalone tlo-tag only, --corrupt-folders defaults to never, meaning corrupt folders are kept unless the user explicitly selects all or threshold; Full Inventory keeps its existing shared default. --delete-extra-tags and --deep-audio-check defaults off; when enabled it applies the same exact metadata-retention rule used by Inventory-time tagging. It may continue accepting --myTLO STRING as a hidden compatibility argument, but --myTLO must not appear in help output. If more than one search-folder form is supplied with different non-empty values, report a readable error and exit.</w:t>
      </w:r>
    </w:p>
    <w:p>
      <w:pPr>
        <w:pStyle w:val="Normal"/>
        <w:rPr/>
      </w:pPr>
      <w:r>
        <w:t>TLOHome resolution for tlo-tag.py must preserve the internal compatibility precedence defined in Section 2.3, while user-facing help documents only --TLOHome and the TLOHome environment variable.</w:t>
      </w:r>
    </w:p>
    <w:p>
      <w:pPr>
        <w:pStyle w:val="Normal"/>
        <w:rPr/>
      </w:pPr>
      <w:r>
        <w:t>Standalone tlo-tag must not choose TLOHome/readyForXfer or any other implicit tagging path. A search folder is required on every command-line run. If the search folder is omitted, tlo-tag must report a readable command-line error and exit before tagging begins.</w:t>
      </w:r>
    </w:p>
    <w:p>
      <w:pPr>
        <w:pStyle w:val="Normal"/>
        <w:rPr/>
      </w:pPr>
      <w:r>
        <w:t>When the standalone tlo-tag search folder is a Windows drive-rooted path such as P:\tagtest or P:/tagtest, and the tagger is running under WSL/Linux, the tagger must translate the path to the equivalent /mnt/&lt;drive&gt;/... path before validating that it is fully qualified and exists. Native Windows keeps Windows paths native. This applies to --search-folder, the compatibility alias --tag-path, and the positional SEARCH_FOLDER argument.</w:t>
      </w:r>
    </w:p>
    <w:p>
      <w:pPr>
        <w:pStyle w:val="Normal"/>
        <w:rPr/>
      </w:pPr>
      <w:r>
        <w:t>In non-compliant mode, use the same inventory-stage discovery for music files, selected setlist files, wrapper aggregation, sampled FLAC/MP3 tag evidence, and show metadata inputs. Then use the inventory metadata approach to identify Artist, Date, Venue, and Location. For performance-style records, build Album from Date, Venue, and Location metadata. When metadata extraction classifies the record as an Artist - Album/commercial release and populates ALBUM_NAME, use ALBUM_NAME as the base Album value instead of falling through to Unknown merely because Date/Venue/Location are blank.</w:t>
      </w:r>
    </w:p>
    <w:p>
      <w:pPr>
        <w:pStyle w:val="Normal"/>
        <w:rPr/>
      </w:pPr>
      <w:r>
        <w:t>In compliant mode, use String1 Date String2, String1 - String2 Date, String1 - String2, and String1 Date folder checks. For String1 Date String2, Artist comes from String1 and Album is Date String2. For String1 - String2 Date, Artist comes from String1, Date is the normalized complete boundary date, and Album uses the remaining String2 text. For generic String1 - String2, Artist comes from String1 and Album is String2. For String1 Date, Artist comes from String1 and Album is Date.</w:t>
      </w:r>
    </w:p>
    <w:p>
      <w:pPr>
        <w:pStyle w:val="Normal"/>
        <w:rPr/>
      </w:pPr>
      <w:r>
        <w:t>When writing audio tags with Delete Extra Tags disabled, TLO must preserve unrelated existing metadata except for the established cleanup of stale TRACKTOTAL, DISCNUMBER, and DISCTOTAL values. This applies to inventory-time tagging and to the standalone tlo-tag and GUI Tag. The normal TrackNo/Track Number tag remains written; only total-track and disc-position/count metadata is removed by the normal unchecked behavior. When Delete Extra Tags is enabled, the stricter four-field retention rule below supersedes that preserve-unrelated-metadata behavior.</w:t>
      </w:r>
    </w:p>
    <w:p>
      <w:pPr>
        <w:rPr/>
      </w:pPr>
      <w:r>
        <w:t>Before saving tags to an audio file, normalize the intended Artist, Album, Title, and Track Number exactly as the writer will store them and compare them with the file's current values. If Delete Extra Tags is disabled, the existing no-op rule applies: when all four written fields already match exactly and TRACKTOTAL, DISCNUMBER, and DISCTOTAL cleanup is not required, do not call the audio tag save/write operation and report the file as unchanged. If any written field differs, has additional values that the write would replace, or any obsolete total/disc tag remains, perform the normal tag write and cleanup. If Delete Extra Tags is enabled, a file is unchanged only when those four fields already match exactly and there is no other tag metadata or tag artwork to remove. This no-op guard applies to inventory-time tagging and the standalone tlo-tag and GUI Tag and must not change title-source selection or track ordering.</w:t>
      </w:r>
    </w:p>
    <w:p>
      <w:pPr>
        <w:pStyle w:val="Normal"/>
        <w:rPr/>
      </w:pPr>
      <w:r>
        <w:t>When Convert shn / --convert-shn is enabled, TLO must convert SHN/SHNF files to FLAC in the selected Tag path, during Full Inventory, and during Add Shows, even when no tagging mode is enabled. Conversion must use only the application-bundled native converter included with the native build. Native release packaging prepares FFmpeg 9.0.2 from an exact versioned release asset, verifies its pinned SHA-256 before extraction, and packages the resulting executable beneath tlo_ffmpeg_bin. Runtime resolution must not honor IMAGEIO_FFMPEG_EXE, PATH, conda, imageio-ffmpeg, or a current-directory ffmpeg fallback. In frozen builds, the resolved converter must remain inside the packaged application.</w:t>
      </w:r>
    </w:p>
    <w:p>
      <w:pPr>
        <w:pStyle w:val="Normal"/>
        <w:rPr/>
      </w:pPr>
      <w:r/>
    </w:p>
    <w:p>
      <w:pPr>
        <w:pStyle w:val="Normal"/>
        <w:rPr/>
      </w:pPr>
      <w:r>
        <w:t>For each successfully matched audio file, including FLAC and MP3, write Artist, Album, normalized Track Number, and Title tags. Artist comes from the resolved Artist. Album normally starts with the resolved Artist followed by a space, then the base Album value. For a performance record that base is Date, Venue, Location, and preserved parentheticals; for an Artist - Album/commercial-release record it is ALBUM_NAME and preserved parentheticals. This rule applies to Full Inventory with Tag In Place, Tag Copy, or Tag Copy/Delete Original, to Add Shows tagging, and to standalone Tag. When Artist in Album is unchecked or --no-artist-in-album is supplied, omit only the leading Artist and keep the same base Album value. When Delete Extra Tags / --delete-extra-tags is selected, clear the file metadata before writing and retain only Artist, Album, Track Number, and Title; all other metadata fields are removed, including Album Artist, date/year, genre, comments, encoder fields, disc/total fields, and embedded tag artwork where the audio container exposes it as tag metadata. When Delete Extra Tags is not selected, unrelated existing metadata remains preserved except for the established TRACKTOTAL/DISCNUMBER/DISCTOTAL cleanup. When Thorough Setlist Matching is not selected, a selected local setlist whose parsed track count matches the audio-file count remains the first title source, followed by the existing eTreeDB, cached setlist.fm, filename, and existing-Title fallbacks documented in this section. When Thorough Setlist Matching is selected, use the Thorough Setlist Matching candidate/deconfliction rule below instead of stopping at the first acceptable source. Explicit local Songs:/Tracks: blocks with plausible titles are recognized as local song-list evidence, but when their title count differs from the audio-file count TLO reports the mismatch and does not force or truncate the list into a one-title-per-file mapping.</w:t>
      </w:r>
    </w:p>
    <w:p>
      <w:pPr>
        <w:pStyle w:val="Normal"/>
        <w:rPr/>
      </w:pPr>
      <w:r/>
    </w:p>
    <w:p>
      <w:pPr>
        <w:pStyle w:val="Normal"/>
        <w:rPr/>
      </w:pPr>
      <w:r>
        <w:t>Supported setlist track identifiers must include at least: 0 Name, 1 Name, 0Name, 1Name, 0-Name, 1-Name, 01-Name, 0)Name, 1)Name, 0) Name, 1) Name, Track 0 - Name, Track 1 - Name, t01: Name, t01 - Name, d1t01 Name, d1t01 - Name, cd1t04 - Name, s2t01 Name, side-letter rows such as A01 Name and B05 Name, 101 [0:26] Name, 201 [1:43] Name, and disc-track dash rows such as 1-1 Name, 1-2 Name, and 2-1 Name, and numbered encore rows such as 09. E: Name or 09. Encore: Name.</w:t>
      </w:r>
    </w:p>
    <w:p>
      <w:pPr>
        <w:pStyle w:val="Normal"/>
        <w:rPr/>
      </w:pPr>
      <w:r>
        <w:t>When a local numbered setlist is a strong but short run and the audio folder has additional files, inventory-time tagging may preserve the known listed titles and mark only the unmatched trailing audio files as Unknown instead of discarding the setlist titles. This partial-title behavior must remain conservative and must not override exact-count local setlist matches. Bare-number rule: when exactly one contiguous bare-number block begins at 0 or 1, continues consecutively, and its row count exactly equals the audio-file count, treat those numbers as track positions and write Title = Unknown for every row. The numeric values themselves must never be written as song titles by this rule. A count mismatch or multiple competing exact-count bare-number blocks contributes no candidate and is neutral to the remaining title-selection sources.</w:t>
      </w:r>
    </w:p>
    <w:p>
      <w:pPr>
        <w:pStyle w:val="Normal"/>
        <w:rPr/>
      </w:pPr>
      <w:r>
        <w:t>Comma-separated setlist fallback must support SET ONE/SET TWO style sections. Comma-separated items may include internal medley arrows such as Jam&gt;Flute Down; these arrows must not be split unless a future rule can prove the resulting count is safe.</w:t>
      </w:r>
    </w:p>
    <w:p>
      <w:pPr>
        <w:pStyle w:val="Normal"/>
        <w:rPr/>
      </w:pPr>
      <w:r>
        <w:t>Numbered setlists may restart at 1 after a clear CD/Disc/Disk/Set heading, or after an established numbered run when no heading is present. The written Track Number tags must remain sequential across sections. Clear headings include roman-numeral and duration forms such as Set I - 89 min. and Set II - 99 min. When no heading is present, a reset is accepted only after the current list has ascended from 0 or 1 and the restarted section is confirmed by the next parsed row continuing to 2. Blank lines are not required and do not affect the reset decision. A lone unconfirmed second 1 must be ignored so revision notes or other prose are not written as titles.</w:t>
      </w:r>
    </w:p>
    <w:p>
      <w:pPr>
        <w:pStyle w:val="Normal"/>
        <w:rPr/>
      </w:pPr>
      <w:r>
        <w:t>Numbered setlist parsing must tolerate large blocks of non-song text, blank lines, URLs, personnel notes, and ordinary explanatory notes between numbered song rows when the later numbered row validly continues the established sequence or begins a confirmed reset. Terminator-style headings such as Note:, Source:, Transfer:, or Comments: must not end an otherwise valid numbered list if a later numbered row continues the expected number. Patch notes and checksum/hash sections remain hard stops.</w:t>
      </w:r>
    </w:p>
    <w:p>
      <w:pPr>
        <w:pStyle w:val="Normal"/>
        <w:rPr/>
      </w:pPr>
      <w:r>
        <w:t>Technical audio-analysis and extraction/ripper report sections must not be parsed as song titles. This includes auCDtect result rows and Exact Audio Copy (EAC) extraction logs/TOC tables. Rows such as "101 Ted the Mechanic.wav: track looks like CDDA with probability 100%." and "1 | 0:00.00 | 13:17.25 | 0 | 59799" are technical verification/table data even when their leading numbers form a valid 1..N sequence. Recognized EAC markers such as "Exact Audio Copy", "EAC extraction logfile", and "TOC of the extracted CD" begin a technical tail that is not mined for track titles. In addition to source-specific filters, numbered-title parsing must apply a conservative plausibility check that rejects numeric multi-column/timestamp table rows while preserving legitimate numeric song titles. If these technical rows appear after a valid setlist track list, track-title parsing stops before the technical block; if they appear without a real numbered setlist, they are ignored for title selection.</w:t>
      </w:r>
    </w:p>
    <w:p>
      <w:pPr>
        <w:pStyle w:val="Normal"/>
        <w:rPr/>
      </w:pPr>
      <w:r>
        <w:t>Ordinal event/header lines must not be parsed as compact numbered tracks. For example, "9th Annual Eddie Moore Jazz Festival" is a header/event line and must not become track 9 with title "th Annual Eddie Moore Jazz Festival". Track extraction must continue past such headers to later real numbered track lists.</w:t>
      </w:r>
    </w:p>
    <w:p>
      <w:pPr>
        <w:pStyle w:val="Normal"/>
        <w:rPr/>
      </w:pPr>
      <w:r>
        <w:t>Once a setlist track list has started, collector notes, note-to-collectors sections, lineage/source/transfer notes, comments, explicit thank-you prose such as "Thanks to the taper", checksum sections, and similar prose sections must terminate track-title parsing. A later prose sentence that starts with a number, such as "40 years...", must not be accepted as an additional song title.</w:t>
      </w:r>
    </w:p>
    <w:p>
      <w:pPr>
        <w:pStyle w:val="Normal"/>
        <w:rPr/>
      </w:pPr>
      <w:r>
        <w:t>If metadata cannot be identified, the standalone tagger must skip the folder with a concise console message and processing must continue with the next folder. If a selected setlist exists but no numbered parseable tracks exist, the tagger must check for unnumbered CD/Disc/Disk/Set song-list sections, then unnumbered comma-separated setlist fallback content, before falling back to filename-derived titles confirmed by the setlist text or to existing audio Title tags. If the setlist track count still does not match the number of music files, standalone/GUI tagging may use existing audio Title tags as a last-resort source when at least one existing title is usable; otherwise it skips the folder. Inventory-time tagging may also fall back to existing audio title tags according to Section 14. When an explicit Set/Disc/Disk/CD or Setlist/Tracks/Songs boundary is present, unnumbered title candidates must be constrained to the song region beginning at that boundary; header, venue, and lineage text above it is not eligible merely because including it would make the title count match the audio-file count.</w:t>
      </w:r>
    </w:p>
    <w:p>
      <w:pPr>
        <w:pStyle w:val="Normal"/>
        <w:rPr/>
      </w:pPr>
      <w:r>
        <w:t>Filename-derived tagging fallback must be conservative. It may use titles extracted after a leading track number, dNtNN/sNtNN token, or embedded date plus disc/track prefix only when a real title remains after the prefix. Fill-in identifiers such as Track, Track 01, d1t03, s1t04, unknown, untitled, or bare numbers are not valid song titles. When a selected setlist exists, filename-derived titles must be confirmed against the setlist text before use.</w:t>
      </w:r>
    </w:p>
    <w:p>
      <w:pPr>
        <w:pStyle w:val="Normal"/>
        <w:rPr/>
      </w:pPr>
      <w:r>
        <w:t>Standalone tlo-tag scans folders under its required search folder; GUI Tag scans the parsed master Path(s) jobs. Both use the same inventory discovery rules for folders with music. It must choose the selected setlist file with the same setlist-selection rules used elsewhere, parse metadata using compliant or non-compliant inventory rules, and tag all taggable audio files in each folder. FLAC and MP3 are first-class taggable formats and must use the same title/track assignment flow. When the discovery input contains only a representative media sample for a folder, the tag-write step must locally rescan the known music directory and operate on the full set of eligible audio files in that folder. In standalone tlo-tag or GUI Tag, if no setlist is found, attempt filename-derived track titles first; when filenames are generic or unusable, use existing audio Title tags when at least one usable title exists. In Tag During Inventory, if setlist/eTree titles cannot be used or the count mismatches, use existing audio Title tags as the last-resort Title source and write Unknown for empty, generic, or unusable title tags. Generic-title rule: when the complete cleaned candidate song title from any setlist title source (local numbered, local unnumbered, comma-separated, eTreeDB, or cached setlist.fm) or from an existing audio Title tag is exactly Title, Titled, or Titles, case-insensitively, TLO must keep the track row/position but write the Title value as Unknown. This rule applies only when the complete cleaned candidate is one of those three words; longer legitimate titles that merely contain title, titled, or titles remain eligible.</w:t>
      </w:r>
    </w:p>
    <w:p>
      <w:pPr/>
      <w:r>
        <w:t>Numbered-setlist safety rule: A leading bare track number such as 01 must be retained as an Unknown-title track only when the next meaningful numbered song row confirms the expected sequence, such as 02 Day Waves. An isolated bare number before unrelated prose must not be manufactured into a track. A one-, two-, or three-digit numeric-only row must not start an unstructured unnumbered-title fallback block, because an isolated short number is more likely to be a bare track number. Numeric song names remain eligible when embedded inside an already-established multi-line unnumbered song block; titles such as 69 and 1999 must remain valid. Compact personnel/credit lines ending in a recognized instrument or role parenthetical, including Gary Burton(vib) and Chick Corea (p), and duration-summary lines such as min 38:24, 38:24 min, and total time 38:24 must not become unnumbered titles. When the local text contains a convincing run of at least three consecutive numbered song rows, later unnumbered prose must not be scavenged merely because its count happens to equal the audio-file count; however, the competing-candidate rule supersedes this blanket gate when a plausible exact-count unnumbered song-list candidate exists and must be compared against the numbered candidate before padding or final selection.</w:t>
      </w:r>
    </w:p>
    <w:p>
      <w:pPr/>
      <w:r>
        <w:t>Explicit-setlist and disc-order rule: When a selected local text file contains an explicit Setlist:, Set List:, Songs:, Tracks:, or equivalent track-section heading followed by an unnumbered one-song-per-line list, that section must be evaluated before later numbered prose. A track-list terminator such as Notes: ends the section even when no numbered song rows were seen, so later collector notes beginning 1), 2), 3), and similar numbering must not become titles. Within an explicit/count-matched song section, a legitimate song beginning with Thank, including Thank The Nurse That's Nursing You, must remain eligible; explicit thank-you prose such as Thanks to the taper remains a terminator. Encore abbreviations E:, Enc:, and Encore: must be stripped from the beginning of the song title. Audio files whose names carry both disc/disk/CD and track tokens must sort by disc first and track second even when punctuation such as commas, periods, hyphens, underscores, or spaces separates the tokens; for example CJM-Disc01,Track01.flac through CJM-Disc01,Track10.flac must precede CJM-Disc02,Track01.flac. This ordering prevents disc 1 and disc 2 from being interleaved into odd/even written Track Number tags. The same disc-first ordering extends to a validated multipart release whose immediate music folders use the Parent (1) through Parent (N) shape. For those aggregated parts, the terminal parenthesized part number is the first ordering key and the filename track number is the second, so all files from part 1 are tagged before part 2 and so on; the written Track Number tags remain one album-wide sequential series rather than striping all track 01 files across parts.</w:t>
      </w:r>
    </w:p>
    <w:p>
      <w:r>
        <w:t>Competing-track-list candidate rule: Before a short numbered local setlist candidate is padded with Unknown titles, TLO must evaluate any plausible local unnumbered candidate whose title count exactly equals the number of audio files. Count agreement is primary evidence: an exact-count song list outranks a shorter numbered candidate when the latter does not account for all audio tracks. When numbered and unnumbered candidates both exactly match the audio-file count, TLO may use only positive corroboration from the corresponding audio filename or existing audio Title tag to reinforce either candidate; a missing, generic, unreadable, or unrelated filename/tag value contributes zero and must never reduce a candidate score. Filename corroboration may be established either by a parsed filename title match or by the complete normalized candidate title appearing within the corresponding filename. Existing Title-tag corroboration requires a usable cleaned tag title matching the candidate title. If equally sized candidates have equal corroboration, a short numbered run demonstrably embedded in surrounding prose/collector notes may yield to the exact-count contiguous unnumbered song block; otherwise normal numbered-list precedence remains. The reported Cramps 1984-06-25 example contains three numbered processing notes followed by 17 unnumbered songs; with 17 audio files, the 17-song block must be selected from Devil With A Blue Dress On through She Said.</w:t>
      </w:r>
    </w:p>
    <w:p>
      <w:pPr/>
      <w:r>
        <w:t>Explicit track-region boundary rule: When a selected local text file contains an explicit song-list boundary such as Set 1, Set 2, Disc 1, Disk 1, CD 1, Setlist 1, Set List 1, Track List 1, Songs:, Tracks:, or an equivalent numbered section heading, that boundary establishes the beginning of the unnumbered song region. Header, artist, venue, location, lineage, and other plausible short text above the first such boundary must be discarded from unnumbered title candidates and must not be used merely to make the candidate count equal the audio-file count. Subsequent Set/Disc/Disk/CD headings and a bare Encore heading are continuation boundaries and retain the ordered titles already collected. Blank lines may separate title blocks inside the explicit region. A date-labelled divider such as on July 7, 1967: inside that region is a non-title continuation/filler divider; following plausible titles remain eligible and the divider itself is not tagged. Notes/source/checksum/technical terminators and decorative separator lines end the explicit region. Exact audio-count gating still applies. In the reported Reverend Gary Davis 1967-07-08 example with 16 audio files, Reverend Gary Davis, Friends' Center, Seattle, WA, and SBD &gt; ? &gt; CDr &gt; EAC &gt; FLAC above Set 1 must not become titles; the 16 titles are Introduction through Samson and Delilah, including the three continuation titles after the on July 7, 1967: divider.</w:t>
      </w:r>
    </w:p>
    <w:p>
      <w:pPr/>
      <w:r>
        <w:t>Numbered-date-boundary and continuity rule: A line that begins with a valid calendar date and then carries broadcast, venue, source, or other subsection context must be treated as a non-title section boundary rather than as a numbered song row. Supported numeric date forms include year-first dates and day/month or month/day forms already used by TLO; calendar validity is required before a date-prefixed contextual line is promoted to a boundary. In an established numbered run, a provisional forward jump must not be committed when the next numbered row is exactly the number TLO was waiting for: for example, after 01 through 07, a false candidate beginning 30 followed by real track 08 means the 30 row is discarded and 08 remains normalized track 8. Confirmed large numbering gaps remain supported when later numbering reinforces the jump, such as 01, 02, 30, 31. A lost newline that directly joins an apostrophe-style duration to a following valid dated subsection heading must not append that heading text to the preceding song title. In the reported Tadd Dameron Royal Roost 1948 example, the dated headings 16.10.1948, 23.10.1948, 30.10.1948, and 06.11.1948 are boundaries, and the fourteen songs remain numbered 01 through 14; 30.10.1948 must never become normalized track 8. Location-safe artist-header and bare-number rule: generic path artist scanning must not promote a DB artist phrase when that occurrence is only the parsed trailing city of a longer location suffix; strict unlabeled headers may contain one extra room/hall line before the named Venue; a collaboration header is accepted only when every component resolves uniquely in the Artist DB; and one exact-count consecutive bare-number block represents Unknown-title track positions rather than numeric song names. The reported Chick Corea and Herbie Hancock 2015-04-10 Kennedy Center example therefore resolves Artist = Chick Corea and Herbie Hancock, Venue = Kennedy Center, Location = Washington, DC, and eleven Unknown Titles.</w:t>
      </w:r>
    </w:p>
    <w:p>
      <w:pPr/>
      <w:r>
        <w:t>Thorough Setlist Matching rule: Add an optional Thorough Setlist Matching mode, default off. Normal mode preserves early stopping: TLO uses the established local-setlist/eTreeDB/setlist.fm waterfall and does not spend additional online requests after confidence is already sufficient. When Thorough Setlist Matching is selected, TLO must collect and compare reasonable candidates from the selected local text file, all matching same-date eTreeDB performances when etreeDB is enabled, and setlist.fm when that source is enabled. Thorough setlist.fm collection is proactive even when eTreeDB already returned usable venue/location data and may follow additional same-date result pages. The candidate pool includes exact audio-count lists and near-count lists within two titles of the audio-file count. Candidate ranking must consider local structural strength, audio-count distance, positive positional corroboration from audio filenames and existing Title tags, compatible Venue/Location evidence, and agreement with independent source families. A strong local numbered/explicit recording-specific list may therefore beat online consensus when the actual audio corroborates it, while matching eTreeDB and setlist.fm lists may beat a weak or uncorroborated local parse. Equal title counts alone do not prove alignment: Thorough mode must use sequence alignment when audio evidence supports insertion/deletion skew such as recording-only Intro/Tuning/Crowd tracks or a performance-only Encore. For audio-only aligned positions, use a usable filename title, then a usable existing Title tag, otherwise Unknown; do not shift every later song merely to preserve raw positions. Near-count candidates may be used only when at least two audio positions corroborate the alignment and at least half of the available audio-title evidence agrees; otherwise fall back to the normal selection path. If the two highest-scoring candidates come from different source families, are nearly tied, and materially disagree in sequence, report a Thorough Setlist Matching ambiguity and do not silently choose by source order. setlist.fm Upgrade changes accessibility/capacity only, not authority: with setlist.fm enabled, Thorough mode may be used with or without upgrade, but normal setlist.fm access remains limited to the normal request spacing/run cap and can therefore make thorough coverage slower or incomplete; setlist.fm Upgrade permits the same deconfliction logic to gather setlist.fm evidence much more aggressively under the upgraded limits.</w:t>
      </w:r>
    </w:p>
    <w:p>
      <w:pPr>
        <w:pStyle w:val="Heading1"/>
        <w:rPr/>
      </w:pPr>
      <w:r>
        <w:t>14. GUI Requirements for tlo-main.py</w:t>
      </w:r>
    </w:p>
    <w:p>
      <w:pPr>
        <w:pStyle w:val="ListBullet"/>
        <w:numPr>
          <w:ilvl w:val="0"/>
          <w:numId w:val="1"/>
        </w:numPr>
        <w:rPr/>
      </w:pPr>
      <w:r>
        <w:t>Checking Tag Copy or Tag Copy/Delete Original must only select that mutually exclusive mode. After the user starts Inventory or the main-window Tag action, TLO must open the selected mode's modal destination window and ask for an existing fully qualified destination directory. The Tag Copy window explains that the original is retained, exact capacity preflight always applies, and the recursive folder structure, relative file paths, and file sizes are verified without a SHA-256 content hash. The Tag Copy/Delete Original window additionally warns that original material will be removed; it explains that same-partition transfers are directory moves with no source-size totaling or file-size comparison, while different-partition transfers receive exact capacity preflight, recursive relative path/folder/size verification, and SHA-256 verification of every file before deleting the source. OK remains unavailable until the path is valid and available-storage information can be read. The selected destination overrides per-path --/copy and --/copy-delete destinations from direct Search Path entries and .txt control files. Dry Run follows the same destination selection and planning sequence without performing the transfer.</w:t>
      </w:r>
    </w:p>
    <w:p>
      <w:pPr>
        <w:pStyle w:val="ListBullet"/>
        <w:numPr>
          <w:ilvl w:val="0"/>
          <w:numId w:val="1"/>
        </w:numPr>
        <w:rPr/>
      </w:pPr>
      <w:r>
        <w:t>Add a checkbox titled etreeDB, mapped to --etree-lookup; a checkbox titled setlist.fm, mapped to --setlistfm-lookup; directly beneath it a checkbox titled setlist.fm Upgrade, mapped to --setlistfm-upgrade; and a checkbox titled Thorough Setlist Matching, mapped to --thorough-setlist-matching. Thorough Setlist Matching defaults unchecked and may be used whether or not online lookup sources are enabled. If SETLISTFM_API_KEY is missing or blank when the GUI is built, the setlist.fm and setlist.fm Upgrade checkboxes must both be forced unchecked and disabled so the GUI cannot select an unavailable service. The API key value must never be displayed. When a setlist.fm control is disabled, the main GUI must provide a non-secret reason distinguishing a missing normal key, a missing accepted upgrade key, or an upgrade-key mismatch. The main-window Thorough-specific Info line must appear only when Thorough Setlist Matching is selected, setlist.fm is enabled, and setlist.fm Upgrade is not enabled. In that one case, the Info line warns that Thorough setlist.fm matching will be slow under the normal 600-millisecond / 1,400-call limits. No Thorough-specific Info line is shown when Thorough is off, when setlist.fm is off, or when setlist.fm Upgrade is enabled. The upgrade checkbox itself has no effect unless setlist.fm is enabled and changes accessibility/capacity, not source authority. Add a checkbox titled Delete Extra Tags, mapped to --delete-extra-tags. It defaults unchecked and its visible label is split over two lines as "Delete Extra" / "Tags". When selected, it applies the exact four-field metadata-retention rule in Section 13.1 to Inventory-time tagging, Add Shows tagging, GUI Tag, and standalone tlo-tag. The normal setlist.fm key and the upgrade key must be validated as printable non-whitespace ASCII before enabling their respective controls or reserving any API rate slot. Invalid-key status must be reported without echoing the key, and Unicode/value errors during request construction must be converted to the normal setlist.fm lookup error contract.</w:t>
      </w:r>
    </w:p>
    <w:p>
      <w:pPr>
        <w:pStyle w:val="ListBullet"/>
        <w:numPr>
          <w:ilvl w:val="0"/>
          <w:numId w:val="1"/>
        </w:numPr>
        <w:rPr/>
      </w:pPr>
      <w:r>
        <w:t>If setlist.fm is available and checked, etreeDB must remain checked automatically. If the user clears etreeDB while setlist.fm is still checked, the GUI must restore etreeDB so the dependency remains visible and explicit. Environment resolution checks nonblank process/session values first and uses persisted Windows User/System values only as fallback for a missing/blank corresponding process value. If SETLISTFM_API_KEY remains missing or blank, both setlist.fm-related checkboxes remain disabled and unchecked. If the normal key is present but neither SETLISTFMUPGRADE_API_KEY nor SETLISTFM_UPGRADE_API_KEY is present/nonblank, only setlist.fm Upgrade remains disabled and unchecked. If an upgrade variable is present but does not exactly match SETLISTFM_API_KEY, setlist.fm Upgrade remains disabled and unchecked. The GUI must state the applicable missing/mismatch reason without displaying either key.</w:t>
      </w:r>
    </w:p>
    <w:p>
      <w:pPr>
        <w:pStyle w:val="ListBullet"/>
        <w:numPr>
          <w:ilvl w:val="0"/>
          <w:numId w:val="1"/>
        </w:numPr>
        <w:rPr/>
      </w:pPr>
      <w:r>
        <w:t>The visible main-GUI checkboxes must use a four-row, four-column logical grid. Row and column numbers in this document are one-based. Row 1 is: Column 1 etreeDB; Column 2 Compliant; Column 3 Tag In Place; Column 4 Artist In Album Tag. Row 2 is: Column 1 setlist.fm; Column 2 Rename Compliantly; Column 3 Tag Copy; Column 4 Convert shn. Row 3 is: Column 1 setlist.fm Upgrade; Column 2 As-Is Artist Name; Column 3 Tag Copy/Delete Original; Column 4 Dry Run. Row 4 is: Column 1 Thorough Setlist Matching; Column 2 Proper Grammar; Column 3 is occupied by the wrapped Tag Copy/Delete Original control from Row 3; Column 4 Delete Extra Tags. Proper Grammar defaults unchecked.</w:t>
      </w:r>
    </w:p>
    <w:p>
      <w:pPr>
        <w:pStyle w:val="ListBullet"/>
        <w:numPr>
          <w:ilvl w:val="0"/>
          <w:numId w:val="1"/>
        </w:numPr>
        <w:rPr/>
      </w:pPr>
      <w:r>
        <w:t>When tlo-main.py or tlo-main.exe is launched from the command line with --etree-lookup and/or --setlistfm-lookup, the corresponding GUI checkboxes must reflect the launch arguments. Command-line --setlistfm-lookup without --etree-lookup is a startup error; interactive dependency behavior is defined in Section 9 and the preceding GUI checkbox rule. The --debug command-line argument remains accepted, enables debug behavior, and is not shown as a visible GUI checkbox.</w:t>
      </w:r>
    </w:p>
    <w:p>
      <w:pPr>
        <w:pStyle w:val="ListBullet"/>
        <w:numPr>
          <w:ilvl w:val="0"/>
          <w:numId w:val="1"/>
        </w:numPr>
        <w:rPr/>
      </w:pPr>
      <w:r>
        <w:t>Add/maintain a GUI main program named tlo-main.py.</w:t>
      </w:r>
    </w:p>
    <w:p>
      <w:pPr>
        <w:pStyle w:val="ListBullet"/>
        <w:numPr>
          <w:ilvl w:val="0"/>
          <w:numId w:val="1"/>
        </w:numPr>
        <w:rPr/>
      </w:pPr>
      <w:r>
        <w:t>The GUI should reflect the inputs from tlo-gi.py, using checkboxes where possible and text boxes where text is required.</w:t>
      </w:r>
    </w:p>
    <w:p>
      <w:pPr>
        <w:pStyle w:val="ListBullet"/>
        <w:numPr>
          <w:ilvl w:val="0"/>
          <w:numId w:val="1"/>
        </w:numPr>
        <w:rPr/>
      </w:pPr>
      <w:r>
        <w:t>The GUI must include a Performance Mode selector with gentle, balanced, fast, and extreme.</w:t>
      </w:r>
    </w:p>
    <w:p>
      <w:pPr>
        <w:pStyle w:val="ListBullet"/>
        <w:numPr>
          <w:ilvl w:val="0"/>
          <w:numId w:val="1"/>
        </w:numPr>
        <w:rPr/>
      </w:pPr>
      <w:r>
        <w:t>The GUI must include a Max Workers text field. It is a maximum worker ceiling. When the GUI is launched with a positive --max-workers value, display that value initially. If --max-workers is omitted or supplied as 0, initialize the field from the selected Performance Mode: gentle = 1; balanced = min(2, CPU count); fast = CPU count; extreme = min(4 × CPU count, 64), minimum 1. Whenever the user selects a different Performance Mode in the GUI, reset Max Workers to that mode’s automatic ceiling. The user may then edit Max Workers to another positive value. Runtime phases may use fewer workers according to mode, work-group/drive constraints, and correctness rules.</w:t>
      </w:r>
    </w:p>
    <w:p>
      <w:pPr>
        <w:pStyle w:val="ListBullet"/>
        <w:numPr>
          <w:ilvl w:val="0"/>
          <w:numId w:val="1"/>
        </w:numPr>
        <w:rPr/>
      </w:pPr>
      <w:r>
        <w:t>The GUI default Performance Mode must be balanced. With no positive launcher override, Max Workers defaults to the balanced automatic ceiling. Whenever a Performance Mode is selected, Max Workers is reset to that mode’s automatic ceiling, including after startup with an explicit positive launcher value. The GUI must not display explanatory/helper comments next to the Performance Mode selector or Max Workers text field; it should show only the control labels and controls. All visible GUI control fonts must use the configured main GUI font size, defined at startup as two points larger than the Tk default label/checkbutton font, while the bold title font remains two points larger than that main GUI size.</w:t>
      </w:r>
    </w:p>
    <w:p>
      <w:pPr>
        <w:pStyle w:val="ListBullet"/>
        <w:numPr>
          <w:ilvl w:val="0"/>
          <w:numId w:val="1"/>
        </w:numPr>
        <w:rPr/>
      </w:pPr>
      <w:r>
        <w:t>The Main GUI and Search GUI must not display an editable TLOHome input box. Each GUI must display a read-only label showing the resolved TLOHome, formatted as TLOHome: &lt;path&gt;. In the Main GUI, that label must be on the same top row as the Traders Little Organizer™ Main heading and immediately to the left of the hamburger menu; there must be no separate TLOHome row. TLOHome resolution remains non-GUI: --myTLO first, then --TLOHome, then the TLOHome environment variable.</w:t>
      </w:r>
    </w:p>
    <w:p>
      <w:pPr>
        <w:pStyle w:val="ListBullet"/>
      </w:pPr>
      <w:r>
        <w:t>The Main GUI must use an upper-right hamburger menu. The Help cascade contains About and FAQ. About must display Traders Little Organizer™ - TLO with the superscript trademark symbol, the current public version/build from tlo_version.DISPLAY_VERSION, developer attribution, tool attribution, and contact text. FAQ opens TLOHome/TLO-FAQ.txt; TLO-FAQ.txt is included in the source bundle and end-user complete distributions. The About contact address is support@traderslittleorganizer.com.</w:t>
      </w:r>
    </w:p>
    <w:p>
      <w:pPr>
        <w:pStyle w:val="ListBullet"/>
      </w:pPr>
      <w:r>
        <w:t>The Main GUI hamburger menu must include a top-level Donate cascade. Donate contains Venmo and Check cascades, each displayed with the platform menu chevron. Venmo displays @James-Scarano-3. Check displays James Scarano, 49 Majestic Ave., Nashua, NH 03063. All donation detail rows must use normal enabled menu text so they display as dark text rather than disabled gray text. Selecting a donation detail row must not launch an external service or perform another action.</w:t>
      </w:r>
    </w:p>
    <w:p>
      <w:pPr>
        <w:pStyle w:val="ListBullet"/>
      </w:pPr>
      <w:r>
        <w:t>The Main GUI and Search GUI update menus must include Check for updates and Auto update. Check for updates queries the latest GitHub Release under the TradersLittleOrganizer repository, extracts its recognizable TLO build number, and compares that number to the installed build before requiring independent update-signing metadata. A release whose build is older than or equal to the installed build is not an update candidate and must be reported as up to date even if that historical release predates the signed-metadata mechanism. Only a genuinely newer release proceeds to signed-metadata verification and package selection. Manual checks retain direct-download behavior after a newer release has been independently authorized. Auto update is a persistent update-check preference, not an installer: an automatic check must discover a newer exact-match package without downloading it, then prompt the user with Yes and Skip. Yes downloads the verified package to the user Downloads folder and returns without installing or extracting it; Skip returns immediately without downloading. The official update source is fixed by build-time constants to onaracstlo-lab/TradersLittleOrganizer; environment variables must not redirect it.</w:t>
      </w:r>
    </w:p>
    <w:p>
      <w:pPr>
        <w:pStyle w:val="ListBullet"/>
      </w:pPr>
      <w:r>
        <w:t>Auto update stores its local state in TLOHome/update-settings.json. On startup, the Main GUI and Search GUI read that file, set the Auto update checkmark when auto_update is true, and perform the discovery check at most once every 24 hours. Finding a newer release records the check before the Yes/Skip prompt so choosing Skip does not cause repeated startup prompts inside the same interval. A download occurs only after Yes. Manual Check for updates always runs immediately and continues to download a newer exact-match package directly. The settings record the exact downloaded package kind, platform/layout key, packaging mode, and whether that package includes the TLO database master files.</w:t>
      </w:r>
    </w:p>
    <w:p>
      <w:pPr>
        <w:pStyle w:val="ListBullet"/>
      </w:pPr>
      <w:r>
        <w:t>The updater must never unzip, execute, install, replace, or delete files. It downloads the selected ZIP asset to the user Downloads folder and alerts the user with the full path. Selection must use only official exact release-asset names for the installed operating system and package layout; generic/source ZIPs and the other Windows layout must never be substitutes. The updater must prefer the exact matching update ZIP and fall back only to the exact matching complete ZIP when no matching update ZIP exists. After SHA-256 verification, it must inspect the package manifest inside the ZIP without extracting it, verify package kind/build/platform-layout and database declarations against the ZIP contents, reject mismatches, and report whether the downloaded package includes databases. Windows hybrid and Windows onedir installations must be distinguished from the installed TLOHome/runtime layout.</w:t>
      </w:r>
    </w:p>
    <w:p>
      <w:pPr>
        <w:pStyle w:val="ListBullet"/>
      </w:pPr>
      <w:r>
        <w:t>REQ-NET-001  Updater downloads must sanitize the release asset filename to a basename, accept only allowlisted GitHub-hosted HTTPS asset URLs, and refuse any newer update asset that lacks a valid SHA-256 digest authorized by independently signed TLO metadata. Before transfer, reject any declared asset larger than the configured 1 GiB ceiling. Stream in bounded chunks, reject received bytes above the signed declared size or hard ceiling, and require exact declared-size equality. Before reporting a downloaded ZIP as valid, reject absolute or drive-qualified member names, parent traversal, symbolic-link entries, excessive member count, excessive total uncompressed size, and unsafe compression ratios, then validate the package manifest and ZIP integrity. A digest supplied only by the same GitHub release channel is an integrity aid, not independent publisher authenticity. ZIP validation must also reject duplicate normalized member names, NTFS alternate-data-stream syntax, Windows reserved device names, and path components ending in a dot or space before any package member is trusted.</w:t>
      </w:r>
    </w:p>
    <w:p>
      <w:pPr/>
      <w:r>
        <w:t>REQ-NET-002  Cryptographic publisher-authenticity for newer update metadata is mandatory and separate from transport/release-channel integrity. The signing private key must remain protected outside ordinary release-publishing credentials and TLO must pin the corresponding public key. For a release whose recognizable build number is less than or equal to the installed build, TLO may return up-to-date without loading or verifying signed metadata because that release cannot be accepted as an update. For every genuinely newer release, TLO must fail closed unless TLO_UPDATE_METADATA.json and TLO_UPDATE_METADATA.sig verify against the pinned key and authorize the selected asset identity, size, SHA-256, build, package kind, and platform/layout.</w:t>
      </w:r>
    </w:p>
    <w:p>
      <w:pPr>
        <w:pStyle w:val="ListBullet"/>
        <w:numPr>
          <w:ilvl w:val="0"/>
          <w:numId w:val="1"/>
        </w:numPr>
        <w:rPr/>
      </w:pPr>
      <w:r>
        <w:t>Include hidden myTLO compatibility with the same precedence as CLI. It must not appear in help output or as a visible GUI field.</w:t>
      </w:r>
    </w:p>
    <w:p>
      <w:pPr>
        <w:pStyle w:val="ListBullet"/>
        <w:numPr>
          <w:ilvl w:val="0"/>
          <w:numId w:val="1"/>
        </w:numPr>
        <w:rPr/>
      </w:pPr>
      <w:r>
        <w:t>Search Path is required for Full Inventory and its compact main-window label must read simply "Path(s)" with no optional/override text and no helper line beneath the text box. The main GUI must not contain a separate Slam label or entry; per-path artist overrides are entered inline with --/slam on the applicable Path(s) entry or control-file line.</w:t>
      </w:r>
    </w:p>
    <w:p>
      <w:pPr>
        <w:pStyle w:val="ListBullet"/>
        <w:numPr>
          <w:ilvl w:val="0"/>
          <w:numId w:val="1"/>
        </w:numPr>
        <w:rPr/>
      </w:pPr>
      <w:r>
        <w:t>Include Tag, Add New Shows, Research, Manual Tweaks, Quit, Inventory (full), Pause, and Resume buttons in the main button row. Include a Dry Run checkbox in the main options grid. Tag must display at the far left. Add New Shows, Manual Tweaks, and Inventory (full) may use concise two-line labels to keep the main row readable. The Add New Shows button invokes the existing Add Shows/Updater workflow without changing its functionality. Main action buttons should use compact horizontal padding. Folder reversal is intentionally not a main-GUI action; it is provided by the standalone tlo-reverse CLI. Copy Requests is opened from the upper-right hamburger menu and is not a main-row button.</w:t>
      </w:r>
    </w:p>
    <w:p>
      <w:pPr>
        <w:pStyle w:val="ListBullet"/>
        <w:numPr>
          <w:ilvl w:val="0"/>
          <w:numId w:val="1"/>
        </w:numPr>
        <w:rPr/>
      </w:pPr>
      <w:r>
        <w:t>Main button layout: Tag is at the far left, followed by Add New Shows, Research, and Manual Tweaks in the left action group; Quit is centered; and Inventory (full), Pause, and Resume are grouped on the right. Add New Shows invokes the existing incremental Add Shows/Updater workflow. All main-row buttons must use the same main-button style and remain usable when the window is resized. Button labels throughout all TLO windows must remain centered horizontally and vertically. Copy Requests and Redundancy Groups appear only in the upper-right hamburger menu.</w:t>
      </w:r>
    </w:p>
    <w:p>
      <w:pPr>
        <w:pStyle w:val="ListBullet"/>
      </w:pPr>
      <w:r>
        <w:t>Folder reversal is a standalone CLI operation named tlo-reverse. It accepts one required fully qualified folder/path argument identifying the original path, current path, or containing path whose logged folder operation is to be reversed. It restores folder state only and must never attempt to restore, remove, compare, or otherwise change audio tags.</w:t>
      </w:r>
    </w:p>
    <w:p>
      <w:pPr>
        <w:pStyle w:val="ListBullet"/>
      </w:pPr>
      <w:r>
        <w:t>tlo-reverse must infer the folder operation from TLOHome/logs success-tag logs; a required copy/rename mode flag is prohibited because the authoritative log line already records the action. It must recognize TAG_COPY_DELETE_MOVE and TAG_COPY_DELETE_COPY as Copy/Delete operations, TAG_COPY as retained-original copy operations, and RENAME_COMPLIANTLY source -&gt; destination as rename-only operations. A combined Copy/Delete + Rename Compliantly run is represented by its final TAG_COPY_DELETE_* source -&gt; destination mapping and is reversed as one folder operation.</w:t>
      </w:r>
    </w:p>
    <w:p>
      <w:pPr>
        <w:pStyle w:val="ListBullet"/>
      </w:pPr>
      <w:r>
        <w:t>The CLI must resolve TLOHome with normal shared precedence and search current tags*.txt plus compatible legacy tag*.log files. The path argument scopes candidate mappings. Current filesystem state is used only to establish which logged run is presently reversible; the exact logged source and destination remain authoritative for mutation. If more than one logged run remains applicable for a broad path, tlo-reverse must stop rather than guess. The user may supply a narrower path or the optional --log argument to select one specific log.</w:t>
      </w:r>
    </w:p>
    <w:p>
      <w:pPr>
        <w:pStyle w:val="ListBullet"/>
      </w:pPr>
      <w:r>
        <w:t>Reversal semantics are operation-specific. For Copy/Delete, restore the exact logged destination folder to the exact logged source path; use a same-filesystem directory rename/move when possible, otherwise copy the complete tree, verify it before delete, then remove the destination. For rename-only, rename/move the exact logged destination back to the exact logged source path. For Tag Copy, retain the original source and remove only the exact logged copied destination; before deletion, require the source and copy to contain the same relative file-name set so an independently modified copy is not deleted. Tag data differences are permitted and are never inspected for reversal.</w:t>
      </w:r>
    </w:p>
    <w:p>
      <w:pPr>
        <w:pStyle w:val="ListBullet"/>
      </w:pPr>
      <w:r>
        <w:t>Before any destructive change, tlo-reverse must report the selected success-log filename and every matching operation. --dry-run must perform selection and report the exact actions without changing folders. Existing source/destination conflicts must never be overwritten or merged. Missing logged destinations are skipped. A Tag Copy reversal whose relative file set has diverged is a conflict and the copied tree is left untouched. Before removing a same-file-set Tag Copy, TLO must also detect destination files whose modification time indicates a possible post-run replacement; such a copy is a conflict and is left untouched rather than silently deleting the potentially replaced file. For a cross-filesystem rename or Copy/Delete reversal, symbolic links must be copied as symbolic links, their link targets must be included in verification, and the logged destination must not be removed until the copied tree is verified with symlink identity preserved.</w:t>
      </w:r>
    </w:p>
    <w:p>
      <w:pPr>
        <w:pStyle w:val="ListBullet"/>
      </w:pPr>
      <w:r>
        <w:t>Every reversal must append an audit record to TLOHome/logs/reverseFolders.log. The audit record includes the requested path, selected success log, operation count, dry-run state, and per-operation outcome. The older embedded Reverse Copy/Delete + Rename GUI workflow is removed from the Main GUI. The obsolete tlo_reverse_copy_delete implementation is not shipped. All supported user-facing reversal behavior is implemented by tlo-reverse/tlo_reverse_folders and covers rename-only, Copy/Delete with or without compliant rename, and Tag Copy with or without compliant destination naming.</w:t>
      </w:r>
    </w:p>
    <w:p>
      <w:r>
        <w:t>All pre-execution settings reporting must use the canonical Review Operation requirements in Section 14.1. GUI Tag reads the current main-window values when Tag is clicked. Add Shows child-window actions likewise read current main-window values at action time rather than retaining snapshots from when the updater window was opened.</w:t>
      </w:r>
    </w:p>
    <w:p>
      <w:pPr>
        <w:pStyle w:val="ListBullet"/>
        <w:numPr>
          <w:ilvl w:val="0"/>
          <w:numId w:val="1"/>
        </w:numPr>
        <w:rPr/>
      </w:pPr>
      <w:r>
        <w:t>The Add New Shows window must include a Search Path textbox for Process New Shows. It is pre-filled with the current TLOHome/readyForXfer path, accepts one existing directory, and supports native-Windows folder drag/drop. The selected Search Path identifies the directory whose immediate child folders are the new-show candidates; it replaces the previous hard-wired readyForXfer source for Process New Shows and its Dry Run preview. Process Potential Duplicate/Upgrades continues to use TLOHome/dups. If Add Shows is used before any bootlist.csv exists, the updater must warn that Add Shows can create a new bootlist from the selected Search Path but is normally used after a full inventory. The updater must require a non-blank Current Backup/Storage Drive and Volume before bootstrapping the first real bootlist output, and must ask the user to continue or cancel before processing new shows as the first inventory output. The Add Shows window must not contain separate Preview buttons, a Dry Run checkbox, or duplicated main-window option checkboxes. Check for Duplicates remains because it is specific to Process New Shows. When either Add Shows action is clicked, it must read the current main-window checkbox values. When main-window Dry Run is checked, clicking Process New Shows or Process Potential Duplicate/Upgrades must perform the detailed non-destructive analysis instead of moving, renaming, tagging, converting, deleting, or writing inventory output. Dry Run must remain available even when the first real Add Shows run would require a storage-volume value.</w:t>
      </w:r>
    </w:p>
    <w:p>
      <w:pPr>
        <w:pStyle w:val="ListBullet"/>
      </w:pPr>
      <w:r>
        <w:t>Add Shows incremental processing must honor the main GUI Tag In Place checkbox. When Tag In Place is selected, both the selected Search Path-to-staged Process New Shows path and the duplicate-resolution Process path must tag the accepted source folder in place after any compliant rename and generated setlist preparation, but before the folder is moved into staged. Add Shows Dry Run must use the production metadata and track-title selection logic and display the resulting show name plus each applicable file's planned Artist, Album, Track, and Title values, title source, SHN conversion target, skip reason, and potential duplicate matches without changing content.</w:t>
      </w:r>
    </w:p>
    <w:p>
      <w:pPr>
        <w:pStyle w:val="ListBullet"/>
      </w:pPr>
      <w:r>
        <w:t>Add Shows potential-duplicate detection must require both a matching performance date and an independently validated artist match against the same existing bootlist Show cell. Raw resolved show names and raw folder basenames may be used only as probes from which the Artist DB resolves a legitimate artist; they must never directly satisfy the artist predicate. Artist comparison must use normalized whole-token/whole-phrase boundaries rather than arbitrary substring containment, while continuing to accept the resolved Artist DB master name and valid aliases.</w:t>
      </w:r>
    </w:p>
    <w:p>
      <w:pPr>
        <w:pStyle w:val="ListBullet"/>
      </w:pPr>
      <w:r>
        <w:t>Add Shows cross-partition potential-duplicate rule: when Process New Shows runs with Check for Duplicates selected and potential duplicate bootlist rows are found, TLO must determine whether comparison is possible on the partition identified by Current Backup/Storage Drive and Volume. Rooted Windows drive, WSL drive, macOS/Linux mount identity takes precedence; matching volume labels are the fallback for legacy rows without a rooted path. If every matching row is definitively on another partition, TLO must treat those existing folders as unavailable for comparison, retain the incoming show, and append a potential-duplicate qualifier `(pdupNN)` where NN begins at 01 and advances one past the highest existing pdup number in the matching family. The marker is part of the final Show identity and therefore propagates to bootlist output, generated setlist identity, Album/tag parentheticals, and Rename Compliantly folder naming when rename is enabled. A pdup marker is not evidence of an exact copy or an alternate. If any matching row is on the current partition, or partition identity cannot be determined, TLO must keep the existing duplicate review and copy-versus-alternate comparison behavior unchanged.</w:t>
      </w:r>
    </w:p>
    <w:p>
      <w:pPr>
        <w:pStyle w:val="ListBullet"/>
      </w:pPr>
      <w:r>
        <w:t>Add Shows does not perform Tag Copy or Tag Copy/Delete Original. If either is selected in the main GUI, Add Shows must report the selected value in Review Operation and identify the two Full Inventory copy modes as not used by Add Shows, so it does not create a second copy-mode destination outside the selected Process New Shows Search Path and the managed dups/staged workflow. Add Shows must not maintain a separate Mode display of duplicated main-window settings. Rename Compliantly continues to run before tagging so the folder name, generated setlist, bootlist row, and audio tags refer to the same final show name.</w:t>
      </w:r>
    </w:p>
    <w:p>
      <w:pPr>
        <w:pStyle w:val="ListBullet"/>
      </w:pPr>
      <w:r>
        <w:t>When Add Shows creates its duplicate-upgrade cleanup script, use deleteReplacedFolders.bat on Windows and deleteBackupFolders.sh elsewhere. The file must name the actual selected old bootlist.csv targets only after translating each rooted VolumePath into syntax valid for the script platform. Windows-drive paths and WSL /mnt/&lt;drive&gt; paths may be translated when the mapping is unambiguous. If a selected row cannot be translated into a safely rooted target for the script platform, skip that delete command, retain that bootlist row, and report the skipped cleanup. Windows batch output must begin with setlocal DisableDelayedExpansion, escape each literal percent sign as %%, and use CRLF line endings. The existing-file Backup Alert must identify the actual script basename, for example "TLOHome/deleteReplacedFolders.bat already exists. Continue or abort?" or the .sh equivalent.</w:t>
      </w:r>
      <w:r>
        <w:t xml:space="preserve"> On Windows, an active rmdir is permitted only after comparing the recorded source label with the label currently present at that drive letter. Unlabeled, mismatched, missing, or unverifiable drives must not be deleted automatically.</w:t>
      </w:r>
    </w:p>
    <w:p>
      <w:pPr>
        <w:pStyle w:val="ListBullet"/>
        <w:numPr>
          <w:ilvl w:val="0"/>
          <w:numId w:val="1"/>
        </w:numPr>
        <w:rPr/>
      </w:pPr>
      <w:r>
        <w:t>The main GUI must include checkboxes labeled Tag In Place, Tag Copy, Tag Copy/Delete Original, Rename Compliantly, As-Is Artist Name, Proper Grammar, and Dry Run. Proper Grammar appears directly under As-Is Artist Name and defaults unchecked. As-Is Artist Name overrides Proper Grammar when both are checked. Tag In Place, Tag Copy, and Tag Copy/Delete Original are mutually exclusive. Compliant and Rename Compliantly are also mutually exclusive: selecting either one in the GUI clears the other, and supplying both on the inventory, GUI-launcher, or standalone-tagger command line is an error. Checking Tag Copy or Tag Copy/Delete Original only selects the mode; the destination is requested after the operation starts.</w:t>
      </w:r>
    </w:p>
    <w:p>
      <w:pPr>
        <w:pStyle w:val="ListBullet"/>
        <w:numPr>
          <w:ilvl w:val="0"/>
          <w:numId w:val="1"/>
        </w:numPr>
        <w:rPr/>
      </w:pPr>
      <w:r>
        <w:t>The main GUI must include a Convert shn checkbox. The checkbox maps to --convert-shn and applies to Tag, Full Inventory, Add Shows, Tag In Place During Inventory, Tag Copy During Inventory, and Tag Copy/Delete Original During Inventory. Convert shn remains valid when no tagging box is checked; in that case it performs only SHN/SHNF-to-FLAC conversion and does not write tags.</w:t>
      </w:r>
    </w:p>
    <w:p>
      <w:pPr>
        <w:pStyle w:val="ListBullet"/>
        <w:numPr>
          <w:ilvl w:val="0"/>
          <w:numId w:val="1"/>
        </w:numPr>
        <w:rPr/>
      </w:pPr>
      <w:r>
        <w:t>When Tag In Place is checked for an inventory run, each Stage 3 inventory group with music files must attempt to write Artist, Album, normalized zero-padded track number, and Title tags to the inventoried music files. When Tag Copy is checked or --/copy is used, TLO copies each music folder, verifies all relative file paths and file sizes, tags the copy, and keeps the original source tree in the inventory. When Tag Copy/Delete Original is used, TLO captures metadata from the original source tree and records the destination in the inventory. A same-filesystem transfer is a directory rename/move with no size totaling or file-size verification. A cross-filesystem transfer is copied and verified by relative path and file size before the original is deleted; the destination is then tagged.</w:t>
      </w:r>
    </w:p>
    <w:p>
      <w:pPr>
        <w:pStyle w:val="ListBullet"/>
        <w:numPr>
          <w:ilvl w:val="0"/>
          <w:numId w:val="1"/>
        </w:numPr>
        <w:rPr/>
      </w:pPr>
      <w:r>
        <w:t>For Tag Copy/Delete Original, the destination volume label remains the inventory volume identity, but the destination parent is a container and must not become a subtree re-inventory scope merely because prior logs or bootlist rows exist beneath it. Startup must append the transferred shows to the existing destination inventory rather than selecting every prior row under the destination parent for replacement. During postprocess, an existing row may be replaced only when its complete normalized Volume and Path exactly match a destination show path produced by the current Copy/Delete run. Child paths, sibling shows, and all other rows beneath the destination parent must be preserved. This Copy/Delete-specific rule does not change ordinary direct inventory: explicitly inventorying an already inventoried destination tree may still re-inventory that requested tree under the normal same-path/child-path/parent-path policy. If the destination volume label is blank, transferred destination entries continue to append to the blank-volume log set.</w:t>
      </w:r>
    </w:p>
    <w:p>
      <w:pPr>
        <w:pStyle w:val="ListBullet"/>
        <w:numPr>
          <w:ilvl w:val="0"/>
          <w:numId w:val="1"/>
        </w:numPr>
        <w:rPr/>
      </w:pPr>
      <w:r>
        <w:t>Inventory-time tagging must not mutate folders when a show name cannot be determined. In that case, TLO must skip Tag In Place, Tag Copy, Tag Copy/Delete Original, and Rename Compliantly for that group, leave the original folder untouched, and still handle the group normally for inventory and unresolved-show reporting.</w:t>
      </w:r>
    </w:p>
    <w:p>
      <w:pPr>
        <w:pStyle w:val="ListBullet"/>
        <w:numPr>
          <w:ilvl w:val="0"/>
          <w:numId w:val="1"/>
        </w:numPr>
        <w:rPr/>
      </w:pPr>
      <w:r>
        <w:t>Inventory-time tagging results must be split into TLOHome/logs/tagsN.txt and TLOHome/logs/tageN.txt, where N is the same allocated short log token used by confN.log, deadN.log, compN.log, dupsN.log, groupsN.log, and metaN.log for that search path. Successful/status actions go to tagsN.txt. Warnings, skips, cancellations, and errors go to tageN.txt and must use structured reason-code prefixes such as SKIP_SETLIST_MISSING, SKIP_SETLIST_UNREADABLE, SKIP_TITLE_PARSE, SKIP_TITLE_COUNT, WARN_TITLE_PARTIAL, and ERROR_AUDIO_FILE when applicable.</w:t>
      </w:r>
    </w:p>
    <w:p>
      <w:pPr>
        <w:pStyle w:val="Normal"/>
        <w:rPr/>
      </w:pPr>
      <w:r>
        <w:t>When debug is enabled, Tag In Place During Inventory, Tag Copy During Inventory, and the standalone tlo-tag and GUI Tag may write diagnostic setlist copies to TLOHome/debug only for skipped selected-setlist title diagnostics, such as no parseable tracks or a setlist/audio count mismatch, when a readable selected setlist can be included for review. The debug output .txt filename must match the generated inventory setlist filename. Successfully writing one or more generated Unknown titles, having no readable setlist, bad audio-file errors, invalid FLAC files, failed per-file tag writes, SHN conversion/file errors, metadata-only skips, and target-preparation failures must not create debug files; those conditions are recorded in tageN.txt/tageT.txt with reason codes.</w:t>
      </w:r>
    </w:p>
    <w:p>
      <w:pPr>
        <w:pStyle w:val="Normal"/>
        <w:rPr/>
      </w:pPr>
      <w:r>
        <w:t>Literal setlist-supplied titles such as "unknown", "(unknown title)", question-mark placeholders such as "??", "intro", "outro", "banter", or "encore break" are valid setlist titles and may be written exactly as supplied. Neither literal unknown-like titles nor generated Unknown fallback titles create a debug .txt file merely because they were written.</w:t>
      </w:r>
    </w:p>
    <w:p>
      <w:pPr>
        <w:pStyle w:val="Normal"/>
        <w:rPr/>
      </w:pPr>
      <w:r>
        <w:t>Standalone/GUI Tag logging requirement: tag console/output must be mirrored to TLOHome/logs/tagsT.txt and TLOHome/logs/tageT.txt. Progress/status/success lines go to tagsT.txt; consequential errors, warnings, skips, cancellation lines, and completion lines that report file errors go to tageT.txt. Successful parser-selection decisions (for example selecting the best contiguous numbered block or declining an unsafe prose fallback) are informational and must not be logged/surfaced as tagging warnings solely because a decision was made. Error-log lines should carry structured reason-code prefixes when practical, and each run should emit a problem-summary block by reason code when consequential problems were recorded.</w:t>
      </w:r>
    </w:p>
    <w:p>
      <w:pPr>
        <w:pStyle w:val="ListBullet"/>
      </w:pPr>
      <w:r>
        <w:t>Tagging runs must append the complete path of each FLAC or MP3 file that cannot be opened or written to TLOHome/CorruptFlacs.txt. The historical filename is retained for compatibility; the file covers both supported corruption-checked formats. This file is additive diagnostic output and does not replace tagsT.txt/tageT.txt or inventory-time tagsN.txt/tageN.txt logging.</w:t>
      </w:r>
    </w:p>
    <w:p>
      <w:pPr>
        <w:pStyle w:val="ListBullet"/>
        <w:numPr>
          <w:ilvl w:val="0"/>
          <w:numId w:val="1"/>
        </w:numPr>
        <w:rPr/>
      </w:pPr>
      <w:r>
        <w:t>Pause must request a traversal pause without deleting logs or closing the GUI. Resume must clear the pause request and continue the same inventory run.</w:t>
      </w:r>
    </w:p>
    <w:p>
      <w:pPr>
        <w:pStyle w:val="ListBullet"/>
        <w:numPr>
          <w:ilvl w:val="0"/>
          <w:numId w:val="1"/>
        </w:numPr>
        <w:rPr/>
      </w:pPr>
      <w:r>
        <w:t>Include an embedded console output window that captures console data. Ctrl-A / Control-A in the main console must select the complete console contents so the full output can be copied without mouse selection.</w:t>
      </w:r>
    </w:p>
    <w:p>
      <w:pPr>
        <w:pStyle w:val="ListBullet"/>
        <w:numPr>
          <w:ilvl w:val="0"/>
          <w:numId w:val="1"/>
        </w:numPr>
        <w:rPr/>
      </w:pPr>
      <w:r>
        <w:t>The embedded console must remain visible together with the full main control area at the bounded initial GUI size; it must not force the main action controls below the usable screen area.</w:t>
      </w:r>
    </w:p>
    <w:p>
      <w:pPr>
        <w:pStyle w:val="ListBullet"/>
        <w:numPr>
          <w:ilvl w:val="0"/>
          <w:numId w:val="1"/>
        </w:numPr>
        <w:rPr/>
      </w:pPr>
      <w:r>
        <w:t>Every editable text input in the TLO GUI applications, including Tk Entry, ttk Entry, editable Combobox, and text-entry widgets created later in dialogs, must support Ctrl-A / Control-A to select the complete current contents. The behavior must be installed application-wide rather than depending on individual fields being wired manually.</w:t>
      </w:r>
    </w:p>
    <w:p>
      <w:pPr>
        <w:pStyle w:val="ListBullet"/>
        <w:numPr>
          <w:ilvl w:val="0"/>
          <w:numId w:val="1"/>
        </w:numPr>
        <w:rPr/>
      </w:pPr>
      <w:r>
        <w:t>The main GUI window title bar must read TLO Main GUI followed by the current tlo_version.DISPLAY_VERSION; the version/build must not be hard-coded in the GUI.</w:t>
      </w:r>
    </w:p>
    <w:p>
      <w:pPr>
        <w:pStyle w:val="ListBullet"/>
        <w:numPr>
          <w:ilvl w:val="0"/>
          <w:numId w:val="1"/>
        </w:numPr>
        <w:rPr/>
      </w:pPr>
      <w:r>
        <w:t>The bold main-GUI heading must read Traders Little Organizer™ Main.</w:t>
      </w:r>
    </w:p>
    <w:p>
      <w:pPr>
        <w:pStyle w:val="ListBullet"/>
        <w:numPr>
          <w:ilvl w:val="0"/>
          <w:numId w:val="1"/>
        </w:numPr>
        <w:rPr/>
      </w:pPr>
      <w:r>
        <w:t>Add/maintain a -h option for tlo-main.py. Help must describe visible text boxes and checkboxes and list arguments as they should be specified on the command line. The GUI help text must not describe a visible Debug checkbox, but command-line help may list --debug [BOOL] as a command-line-only option.</w:t>
      </w:r>
    </w:p>
    <w:p>
      <w:pPr>
        <w:pStyle w:val="Normal"/>
        <w:rPr/>
      </w:pPr>
      <w:r>
        <w:t>Rename Compliantly must not require Tag In Place, Tag Copy, or Tag Copy/Delete Original, but it must not be combined with Compliant. For non-compliant Full Inventory, Rename Compliantly by itself means rename the identified original show folder in place without tagging. A broad collection or search parent containing unrelated music folders must never be renamed as one show merely because descendant folders contain wrapper or volume-like suffixes. The GUI and CLI must accept the valid rename-only combination without an alert or validation error. Standalone tlo-tag writes tags directly under its selected tag path and may rename an identified show folder before tagging. GUI Tag follows the selected main tag mode: Tag In Place tags the source, Tag Copy tags the verified copy while retaining the source, and Tag Copy/Delete Original transfers then tags the destination; compliant renaming may occur before tagging where valid.</w:t>
      </w:r>
    </w:p>
    <w:p>
      <w:pPr>
        <w:rPr/>
      </w:pPr>
      <w:r>
        <w:t>Immediately before any Rename Compliantly filesystem operation in Full Inventory, Add Shows, or standalone/GUI Tag, compare the final compliant folder name with the existing name using exact spelling and capitalization. Skip the rename only when they are exactly identical; a capitalization-only difference must be renamed. On a case-insensitive filesystem, when both spellings are the same directory entry, use a unique temporary sibling to apply the exact target case rather than a collision suffix. This check occurs after the final compliant name is built and does not weaken collision handling for a distinct existing target. Windows reserved device basenames (CON, PRN, AUX, NUL, COM1-COM9, LPT1-LPT9) must receive a safe suffix.</w:t>
      </w:r>
    </w:p>
    <w:p>
      <w:pPr>
        <w:pStyle w:val="Normal"/>
        <w:rPr/>
      </w:pPr>
      <w:r>
        <w:t>The GUI Tag action must not create a Tagger child window. It uses the main Inventory window console and Current Operation area. It reads the current master Path(s), including inline --/slam directives, the tag-mode checkbox, shared lookup/corruption/tagging options, and Dry Run value when Tag is clicked, then follows the canonical Review Operation reporting rules in Section 14.1. The standalone tlo-tag CLI remains available and requires its own explicit search folder.</w:t>
      </w:r>
    </w:p>
    <w:p>
      <w:pPr>
        <w:pStyle w:val="Normal"/>
        <w:rPr/>
      </w:pPr>
      <w:r>
        <w:t>The GUI Tag action has no separate Tagging Path field. The required master Path(s) field is the GUI Tag input, using the same direct-entry and .txt control-file parsing as Full Inventory. The standalone tlo-tag CLI requires a search folder supplied as --search-folder, positional SEARCH_FOLDER, or compatibility alias --tag-path.</w:t>
      </w:r>
    </w:p>
    <w:p>
      <w:pPr>
        <w:pStyle w:val="ListBullet"/>
      </w:pPr>
      <w:r>
        <w:t>On native Windows, drag/drop for GUI Tag is the existing main Path(s) drag/drop behavior. Dropped folders/control files populate or append to the master Path(s) field under its established rules. There is no separate Tagging Path drop target in the GUI. The standalone tlo-tag CLI does not require GUI drag/drop.</w:t>
      </w:r>
    </w:p>
    <w:p>
      <w:pPr>
        <w:pStyle w:val="Normal"/>
        <w:rPr/>
      </w:pPr>
      <w:r>
        <w:t>Clicking the main Tag button must start the Tag workflow from the main Main GUI without opening a new Tagger window. Tag validates the master Path(s), uses any inline --/slam directives and current main-window options, requires one of Tag In Place, Tag Copy, or Tag Copy/Delete Original, performs the shared Review Operation step, and displays Current Operation/progress/output in the main window. Tag Copy and Tag Copy/Delete Original use the same destination dialogs and safety rules as their Inventory equivalents. Dry Run uses the same inputs/options without mutation.</w:t>
      </w:r>
    </w:p>
    <w:p>
      <w:pPr>
        <w:pStyle w:val="Normal"/>
        <w:rPr/>
      </w:pPr>
      <w:r>
        <w:t>tlo-main.py must reject --tag-path and --search-folder because GUI Tag has no separate Tagging Path field. Standalone tlo-tag.py remains the only user-facing Tag surface that accepts its own command-line search folder.</w:t>
      </w:r>
    </w:p>
    <w:p>
      <w:pPr>
        <w:pStyle w:val="Normal"/>
        <w:rPr/>
      </w:pPr>
      <w:r>
        <w:t>When the main GUI Tag action starts, Tag must read and honor the current main etreeDB, setlist.fm, setlist.fm Upgrade, Thorough Setlist Matching, corruption controls, tag mode, Rename Compliantly, Convert shn, Artist In Album Tag, As-Is Artist Name, Proper Grammar, Deep Audio Check, Delete Extra Tags, Dry Run, Performance Mode, and Max Workers ceiling. setlist.fm retains the established eTreeDB dependency and is unavailable in the GUI when SETLISTFM_API_KEY is missing/blank. setlist.fm Upgrade is unavailable unless SETLISTFMUPGRADE_API_KEY or SETLISTFM_UPGRADE_API_KEY is present; on Windows TLO also checks persisted User/System environment values when the process environment is stale.</w:t>
      </w:r>
    </w:p>
    <w:p>
      <w:pPr>
        <w:pStyle w:val="Normal"/>
        <w:rPr/>
      </w:pPr>
      <w:r>
        <w:t>While GUI Tag is active, the main Main GUI owns Pause/Resume and Quit/cancellation behavior. Conflicting main actions remain disabled until the Tag worker exits. Tag writing must check for cancellation before each audio-file write so a long folder can stop between files. After the worker exits, the main action states must be recalculated immediately.</w:t>
      </w:r>
    </w:p>
    <w:p>
      <w:pPr>
        <w:pStyle w:val="Normal"/>
        <w:rPr/>
      </w:pPr>
      <w:r>
        <w:t>No GUI Tagger child-window layout exists. The main Main GUI remains the sole GUI surface for Tag, including its main output console and Current Operation area.</w:t>
      </w:r>
    </w:p>
    <w:p>
      <w:pPr>
        <w:pStyle w:val="Normal"/>
        <w:rPr/>
      </w:pPr>
      <w:r>
        <w:t>When a GUI Tag run completes, the main Main GUI must display the elapsed-time/completion summary using the shared completion workflow. Format elapsed time as M:SS for runs under one hour and H:MM:SS for runs of one hour or longer.</w:t>
      </w:r>
    </w:p>
    <w:p>
      <w:pPr>
        <w:pStyle w:val="Heading2"/>
      </w:pPr>
      <w:r>
        <w:t>14.1 User-Experience Workflow</w:t>
      </w:r>
    </w:p>
    <w:p>
      <w:pPr>
        <w:pStyle w:val="ListBullet"/>
      </w:pPr>
      <w:r>
        <w:t>The main tlo-main window must not display an Error/OK validation-status label beneath the Path(s) text box. Inventory and Tag must remain clickable whenever no conflicting workflow is active so clicking either can report path or option validation errors directly. The former main-window Tag Copy/Delete Original path label, text box, and validation label must not exist. Its modal destination dialog may display path and available-storage validation beside the dialog controls. Add Shows storage-volume validation may remain visible near its related controls.</w:t>
      </w:r>
    </w:p>
    <w:p>
      <w:pPr>
        <w:pStyle w:val="ListBullet"/>
      </w:pPr>
      <w:r>
        <w:t>Before Full Inventory, Tag, Process New Shows, or Process Potential Duplicate/Upgrades begins, the shared Review Operation dialog must report the same ordered main-window checkbox section: etreeDB; Compliant; Tag In Place; Artist In Album Tag; setlist.fm; setlist.fm Upgrade; Thorough Setlist Matching; Rename Compliantly; Tag Copy; Convert shn; As-Is Artist Name; Proper Grammar; Tag Copy/Delete Original; Delete Extra Tags; Dry Run. After that common section, report workflow-specific paths or path sources, destinations, and controls.</w:t>
      </w:r>
    </w:p>
    <w:p>
      <w:pPr>
        <w:pStyle w:val="ListBullet"/>
      </w:pPr>
      <w:r>
        <w:t>After Start is selected, append the reviewed settings to TLOHome/logs/runSettings.log before launching the worker or Dry Run. Use the same review-line list for the dialog and the log entry so displayed and recorded values cannot diverge.</w:t>
      </w:r>
    </w:p>
    <w:p>
      <w:pPr>
        <w:pStyle w:val="ListBullet"/>
      </w:pPr>
      <w:r>
        <w:t>Dry Run must perform the same show-group discovery, metadata resolution, enabled lookup sequence, album construction, and track-title selection needed to describe the results of the requested operation, but it must not write tags, rename, copy, move, delete, convert, create inventory output, or modify operational/output TLO logs. The required runSettings.log audit entry described in Section 12 is the sole logging exception and is written after Start exactly as for a live run. The main Inventory window must provide the single Dry Run checkbox. Full Inventory uses it directly; Tag and Add Shows use its current value and must not provide separate Dry Run controls. When main Dry Run is checked, clicking Inventory, Tag, Process New Shows, or Process Potential Duplicate/Upgrades analyzes the selected input instead of starting the destructive or output-producing operation. Full Inventory and Add Shows Dry Runs must list the resulting Show Name for every resolved show group. When an inventory tagging mode is selected, and for every Tag Dry Run, the output must list each applicable audio file together with the Artist, Album, Track, and Title values that would be written, the title source, and any planned SHN-to-FLAC target or reason the file would be skipped. Unresolved metadata and title-selection failures must be shown with the affected folder. Every dry run must report root count, music-folder count, media-file count, SHN/SHNF count, planned actions, input/read issues, and elapsed time.</w:t>
      </w:r>
    </w:p>
    <w:p>
      <w:pPr>
        <w:pStyle w:val="ListBullet"/>
      </w:pPr>
      <w:r>
        <w:t>The main Inventory window and Add Shows updater must display a structured Current Operation area during active work. Inventory and GUI Tag share the main Inventory Current Operation area. It must show the current stage or task, current path or item when available, useful cumulative counts when available, warning and error counts, elapsed time, and an active progress indicator while preserving the existing detailed console output where applicable. The indeterminate activity indicator must use a 120-millisecond animation interval; this visual timing must not affect throughput, worker scheduling, elapsed-time updates, or results.</w:t>
      </w:r>
    </w:p>
    <w:p>
      <w:pPr>
        <w:pStyle w:val="ListBullet"/>
      </w:pPr>
      <w:r>
        <w:t>Existing console and log lines must be classified into user-facing issue groups where possible, including unidentified shows, missing setlists, track-title mismatches, unreadable audio, copy/verification problems, online lookup problems, consequential tagging warnings, Add Shows folder errors, and general file or operation errors. Successful parser-choice/informational notices must not be promoted into the Issues list merely because they identify a folder. Duplicate issue records should be suppressed.</w:t>
      </w:r>
    </w:p>
    <w:p>
      <w:pPr>
        <w:pStyle w:val="ListBullet"/>
      </w:pPr>
      <w:r>
        <w:t>After Full Inventory, Add Shows processing, or Tag finishes, display a completion summary with success or failure state, elapsed time, operation-specific counts, warning count, and error count. The completion window must provide View Issues, Open Output when applicable, Open Logs, and Close actions. Add Shows folder failures must retain the affected folder path and exception message for issue review.</w:t>
      </w:r>
    </w:p>
    <w:p>
      <w:pPr>
        <w:pStyle w:val="ListBullet"/>
      </w:pPr>
      <w:r>
        <w:t>The Issues window must group records by reason, show severity and message, permit selection of individual issues, and provide an Open Path action when the issue contains an accessible file or directory path. Its horizontal scrollbar must have an actual scrollable range for long Explanation and Path values; those columns must not simply stretch/shrink to eliminate horizontal overflow. Detailed logs remain authoritative and accessible from the completion window. Open Path must never launch an arbitrary issue file. Local files are revealed/opened through their containing folder; UNC, device, and other network/non-local paths are refused.</w:t>
      </w:r>
    </w:p>
    <w:p>
      <w:pPr>
        <w:pStyle w:val="ListBullet"/>
      </w:pPr>
      <w:r>
        <w:t>The GUI has no Tagger child window. GUI Tag is intentionally integrated into the main Inventory window: it uses master Path(s), including inline --/slam directives, shared options, Review Operation, main Current Operation/progress, Pause/Resume, and main output. It must not provide a second set of Tag controls or a second Dry Run checkbox. The standalone tlo-tag CLI remains available as a separate command-line surface and requires an explicit search folder.</w:t>
      </w:r>
    </w:p>
    <w:p>
      <w:pPr>
        <w:pStyle w:val="Heading2"/>
        <w:rPr/>
      </w:pPr>
      <w:r>
        <w:t>14.2 Packaged Windows GUI Requirements</w:t>
      </w:r>
    </w:p>
    <w:p>
      <w:pPr>
        <w:pStyle w:val="ListBullet"/>
        <w:numPr>
          <w:ilvl w:val="0"/>
          <w:numId w:val="1"/>
        </w:numPr>
        <w:rPr/>
      </w:pPr>
      <w:r>
        <w:t>When packaged as a Windows PyInstaller executable, tlo-main.exe must support multiprocessing path-worker startup without treating worker bootstrap arguments as GUI arguments and without launching child GUI windows.</w:t>
      </w:r>
    </w:p>
    <w:p>
      <w:pPr>
        <w:pStyle w:val="Heading2"/>
      </w:pPr>
      <w:r>
        <w:t>14.3 User Manual Content Requirements</w:t>
      </w:r>
    </w:p>
    <w:p>
      <w:pPr>
        <w:pStyle w:val="ListBullet"/>
      </w:pPr>
      <w:r>
        <w:t>The current RTF manual must carry document metadata/keywords that name the current public build; stale build numbers in document properties are not permitted. When TLO opens an .rtf support/documentation file on Windows it must use the file type's registered Windows handler; .txt, .log, and .csv remain plain-text files suitable for Notepad. On Windows, directory opening and plain-text (.txt, .log, .csv) helper launches must use explicit explorer.exe and notepad.exe paths rooted in the Windows directory returned by GetSystemWindowsDirectoryW (with GetWindowsDirectoryW as the API fallback), and must not trust SystemRoot or executable-name search order.</w:t>
      </w:r>
    </w:p>
    <w:p>
      <w:r>
        <w:t>The current user manual shall provide a first-inventory Quick Start before detailed installation and path theory.</w:t>
      </w:r>
    </w:p>
    <w:p>
      <w:r>
        <w:t>The manual shall include symptom/cause/action troubleshooting and explain the structured SKIP_, WARN_, and ERROR_ reason codes exposed to users.</w:t>
      </w:r>
    </w:p>
    <w:p>
      <w:r>
        <w:t>The documented command-line table shall cover every supported user-facing option, including --proper-grammar on the applicable Inventory/GUI/Tag surfaces, while continuing to omit intentionally undocumented compatibility options.</w:t>
      </w:r>
    </w:p>
    <w:p>
      <w:r>
        <w:t>The manual shall include a glossary for TLO-specific terms and shall identify summary.log, runSettings.log, tokenized Inventory logs, tagsT.txt, and tageT.txt accurately.</w:t>
      </w:r>
    </w:p>
    <w:p>
      <w:r>
        <w:t>The manual shall include current screenshots of the main Inventory window, Review Operation, and Add Shows. GUI Tag has no separate window, so no separate Tag screenshot is required; the main Inventory screenshot and Tag workflow text document that action. Screenshots are explanatory and do not override normative control requirements.</w:t>
      </w:r>
    </w:p>
    <w:p>
      <w:r>
        <w:t>One-time optional shortcut instructions shall not outweigh recurring operational, troubleshooting, tagging, and logging guidance.</w:t>
      </w:r>
    </w:p>
    <w:p>
      <w:pPr>
        <w:pStyle w:val="Heading2"/>
      </w:pPr>
      <w:r>
        <w:t>14.4 Research GUI</w:t>
      </w:r>
    </w:p>
    <w:p>
      <w:pPr/>
      <w:r>
        <w:t>The main Main GUI shall include a visible button labeled Research. Research is read-only and uses the Main GUI's already-resolved TLOHome.</w:t>
      </w:r>
    </w:p>
    <w:p>
      <w:pPr/>
      <w:r>
        <w:t>When Research is clicked, TLO shall open a Research input dialog containing one text-entry box and Search/Close actions. The prompt shall state that the input is an artist followed by a date, a venue, or a date. The Search button shall remain the active/default action whenever the Research dialog is active, and pressing Return or keypad Enter while focus is anywhere within that Research dialog shall be equivalent to Search.</w:t>
      </w:r>
    </w:p>
    <w:p>
      <w:pPr/>
      <w:r>
        <w:t>A successful GUI research operation shall display the same formatted result produced by the standalone tlo-research command in a new read-only, non-wrapping text window with vertical scrolling and a horizontal scrollbar along the bottom of the results box. Ctrl-A at the results-window level shall select the complete result even when another control owns focus. The results window shall include a Search button, and Ctrl-F at the results-window level shall invoke the same action. Search shall open a dialog containing a text box labeled Search for: plus mutually exclusive Forward and Backwards radio buttons, with Forward selected by default. Repeated searches shall continue from the current selection/insertion position in the selected direction, compare case-insensitively, and wrap to the opposite end if no further match exists in that direction. If the requested text is absent from the complete result, report Not found without altering the result text. Search errors, missing TLOHome/logs, or invalid Research input shall be reported in GUI message dialogs without terminating the Main GUI.</w:t>
      </w:r>
    </w:p>
    <w:p>
      <w:pPr>
        <w:pStyle w:val="Heading2"/>
      </w:pPr>
      <w:r>
        <w:t>14.5 Manual Updates</w:t>
      </w:r>
    </w:p>
    <w:p>
      <w:pPr/>
      <w:r>
        <w:t>Manual Tweaks opens the Manual Updates child window. Original accepts one folder or one .txt batch file; New Name supplies the authoritative replacement leaf for one-folder updates; Update Tags is checked by default. Inventory-backed updates use canonical [Volume] rootless-path identity, preserve the existing volume/parent path, fail closed on ambiguous/cross-volume matches, and replace only the affected bootlist/setlist identity. The unidentifiedShows.txt recovery branch prompts for the already-moved destination and performs inventory repair without moving/renaming the filesystem object. Batch Path ----&gt; Folder Name lines use the same rules. Tag changes, when enabled, happen before final inventory commit and are not rolled back if a later commit fails, so failures must disclose that fact.</w:t>
      </w:r>
    </w:p>
    <w:p>
      <w:pPr>
        <w:pStyle w:val="Heading2"/>
      </w:pPr>
      <w:r>
        <w:t>14.6 Copy Request Manager</w:t>
      </w:r>
    </w:p>
    <w:p>
      <w:pPr/>
      <w:r>
        <w:t>Copy Requests is opened from the hamburger menu and is independent of Full Inventory, Tag, Add New Shows, and Manual Updates. The New Copy Request input is labeled Path(s) and uses the same semicolon-separated entry and optional matching-double-quote rules as the main GUI Path(s) field. Path(s) may mix plain request text, direct filesystem path/volume items, and .txt request files in one expression; repeated native-Windows drag/drop appends one or more dropped folders/.txt files instead of replacing the existing value. A .txt entry is expanded immediately when a new request is created using the toBeInventoried.txt blank-line/#/REM whole-line comment convention. Its usable lines are inserted into the request aggregate at that entry position and persisted under TLOHome/copyRequests so later Continue/Process All passes do not require the source .txt file to remain accessible or unchanged. An aggregated request item may contain an exact Show, Artist, Artist + single date/year, Artist + increasing year range using the established yy-yy wraparound rule, or a direct filesystem path/volume item. A rooted path, [Volume], or [Volume] path is direct-copy syntax. A bare visible volume label is direct-copy syntax only when it does not also match an Artist/alias or exact Show expression; a collision is ambiguous, is reported in Preview/reporting, and must be written explicitly as [Volume] to request a whole-volume copy.</w:t>
      </w:r>
    </w:p>
    <w:p>
      <w:pPr/>
      <w:r>
        <w:t>Direct directory trees retain their source leaf name at Destination; an entire-volume item uses the volume label as its Destination folder name. Whole-volume safety is determined from the resolved source, not request spelling: [Volume], a bare unambiguous volume label, and a direct path that resolves to a connected volume/mount root all exclude operating-system-managed root entries that TLO cannot safely or meaningfully reproduce (Windows System Volume Information and $RECYCLE.BIN; macOS .Spotlight-V100, .fseventsd, .Trashes, and .TemporaryItems). The same exclusion set must be used by free-space sizing, copying, and verification, and Preview/reporting must state that the exclusions apply.</w:t>
      </w:r>
    </w:p>
    <w:p>
      <w:pPr/>
      <w:r>
        <w:t>A Copy Request Destination must not be the same path as a requested source, inside that source, or an ancestor containing that source. Source/target identity is never treated as Already Satisfied or Complete; it is reported as a no-copy failure so a request cannot complete without creating the requested second copy. When a direct tree contains inventoried Shows, TLO records those Shows in the same completed-Show tracking used by ordinary request matches, so mixed path/volume and Artist/date/Show items are de-conflicted in the same pass and on later passes. The direct item itself is also persistently recorded so Continue does not recopy it.</w:t>
      </w:r>
    </w:p>
    <w:p>
      <w:pPr/>
      <w:r>
        <w:t>Direct items and ordinary matched folders participate together in the complete current-pass free-space preflight. For Path(s)-based requests, state persists under TLOHome/copyRequests per normalized Path(s) expression plus Destination; the expanded aggregate request specification is stored in the request directory and is the authoritative input for future passes. TLO determines whether an already-saved request exists from the Path(s) expression and Destination before attempting to reopen any contributing .txt file, so an existing request remains reopenable after a list file is moved or deleted. Legacy requests created by older builds from one Request File remain readable for compatibility. Completed Shows are not recopied. Copying preserves the complete eligible source folder/tree, never retags/renames/moves/deletes the source, and never exposes a partial copied tree under the final Show/volume folder name. For each planned copy TLO first reserves the final destination name without overwriting an existing directory, copies into a uniquely named sibling .tlo-copy-* temporary tree carrying a TLO ownership marker, verifies that temporary tree byte-for-byte, and only then publishes it under the final name. Immediately before a Copy Request copies a source tree, TLO must recheck for symbolic links. The copy operation must preserve any link that appears after that check rather than dereferencing its target; the completed temporary tree must be rejected if it contains a symbolic link. Exact tree comparison must compare symbolic links as links using their link target text, not as the bytes of the linked-to file or directory.</w:t>
      </w:r>
    </w:p>
    <w:p>
      <w:pPr/>
      <w:r>
        <w:t>A failed reservation must never delete or modify the directory that caused the reservation failure. On handled copy/verification/finalization failure, TLO removes only its own temporary tree and may remove only its own still-empty reservation; it must never recursively delete a destination target. At pass start, stale .tlo-copy-* trees are removed only when the TLO ownership marker is present; an unmarked similarly named user folder is left alone. Existing non-identical collisions are never overwritten/merged; already-identical destination content at a distinct target is treated as satisfied. Requests are Open until complete or explicitly Closed.</w:t>
      </w:r>
    </w:p>
    <w:p>
      <w:pPr/>
      <w:r>
        <w:t>REQ-COPY-001  Copy Request destination/source overlap is prohibited in either direction, source-as-target is never “Already Satisfied”, and a foreign pre-existing destination entry is never deleted or overwritten.</w:t>
      </w:r>
    </w:p>
    <w:p>
      <w:pPr/>
      <w:r>
        <w:t>REQ-COPY-002  Each copy pass is a recoverable transaction. Before reserving a target, TLO must persist the pending source, target, temporary tree, and phase in that request state. The pass must hold an exclusive request lock and an exclusive Destination lock. Owner identity must include hostname, PID, and a process-start identity when the platform exposes one so PID reuse cannot make a stale owner appear live. On Windows, PID liveness must use Windows process APIs rather than os.kill(pid, 0); on POSIX, an EPERM/PermissionError existence check is treated as alive. A later pass may recover only a reservation or temporary tree explicitly recorded by that request and owned by TLO; it must not sweep another live pass merely because a name begins with .tlo-copy-. A same-host dead-owner lock is stale. A different-host Destination lock becomes eligible for user-confirmed clearing only after the configured stale-age threshold; the GUI must show the recorded owner host and approximate age and require explicit confirmation before clearing it.</w:t>
      </w:r>
    </w:p>
    <w:p>
      <w:pPr/>
      <w:r>
        <w:t>REQ-COPY-003  Copy data must be written to a TLO-owned temporary sibling, verified, and only then published under the final folder name. The ownership marker remains through publish until completion state is persisted. If TLO is interrupted after publish but before completion state is finalized, the next pass must recognize the owned verified tree without deleting foreign data.</w:t>
      </w:r>
    </w:p>
    <w:p>
      <w:pPr/>
      <w:r>
        <w:t>REQ-COPY-004  Copy Requests must provide Cancel Copy while a copy pass is active. Cancellation is checked between files, cleans only the current TLO-owned pending transaction, preserves previously completed items, leaves the request Open, and reports cancellation as a user action rather than a copy failure.</w:t>
      </w:r>
    </w:p>
    <w:p>
      <w:pPr/>
      <w:r>
        <w:t>REQ-COPY-005  Whole-volume OS exclusions are determined by the resolved source being a volume/mount root, not by request syntax. The shared operating-system exclusion names come from tlo_path_policy.OS_MANAGED_DIR_NAMES and are applied consistently to sizing, copy, verification, and Phase 1 policy where applicable.</w:t>
      </w:r>
    </w:p>
    <w:p>
      <w:pPr/>
      <w:r>
        <w:t>REQ-COPY-006  The New Copy Request Path(s) field must use the same semicolon/optional-double-quote splitting rules and repeated native-Windows drag/drop append behavior as the main GUI Path(s) field. It may mix direct paths/volumes, ordinary Artist/date/Show request text, and .txt request-list files. Each .txt input must be expanded exactly once at request creation using blank-line/#/REM whole-line comment filtering. A direct filesystem path item ending in * must also be expanded exactly once at request creation before copying begins: a form such as C:\TLO* selects every immediate directory in C:\ whose name begins with TLO, while C:\TLO\* selects every immediate child directory of C:\TLO and does not select C:\TLO itself. Only directories are selected; regular files and symbolic-link directories are not wildcard matches. The same trailing-* expansion applies to request lines obtained from .txt inputs. If the wildcard parent cannot be accessed or the wildcard matches no directories, request creation must fail with a clear error rather than saving an unresolved wildcard. The resulting ordered aggregate of plain items, expanded .txt items, and expanded wildcard paths must be persisted before copying begins and must be sufficient for all later Preview, Continue, Process All, report, and resume operations without rereading the source .txt files; later operations must also use the persisted wildcard expansion without re-expanding wildcard paths. An existing request identity must be resolved from the original Path(s) expression plus Destination before any source .txt file or wildcard source is revisited, so a saved request remains reopenable if those original inputs later move, disappear, or change.</w:t>
      </w:r>
    </w:p>
    <w:p>
      <w:pPr/>
      <w:r>
        <w:t>REQ-COPY-007  Copy Request state directories are authoritative for deletion identity. Request IDs must match the strict [A-Za-z0-9._-]+ allowlist and must not equal the special path components "." or "..". When state.json is loaded, its request_id must exactly equal the containing request-directory name. The GUI delete action must use the directory ID discovered during request listing rather than trusting state.json for the deletion path. Before recursive deletion, TLO must resolve the candidate target and prove that its resolved parent is exactly the resolved TLOHome/copyRequests root; malformed IDs, traversal, absolute paths, path separators, mismatched state IDs, and symlink escapes must fail closed.</w:t>
      </w:r>
    </w:p>
    <w:p>
      <w:pPr>
        <w:pStyle w:val="Heading2"/>
      </w:pPr>
      <w:r>
        <w:t>14.7 Redundancy Groups</w:t>
      </w:r>
    </w:p>
    <w:p>
      <w:pPr/>
      <w:r>
        <w:t>Redundancy Groups is opened from the hamburger menu and stores ordered equivalence declarations in TLOHome/redundancyGroups.txt using A = B = C syntax. A visible volume label may appear in only one group. Declaration order is source precedence. Paths with spaces do not require quotes in redundancy declarations. For a requested Show inventoried on any group member, Copy Requests tests the same rootless path on connected equivalent members in declaration order and uses the first valid non-symlink source. Redundancy Groups affect Copy Request source resolution only; they do not create inventory rows or change normal duplicate detection. The editor-dismiss button is labeled Close.</w:t>
      </w:r>
    </w:p>
    <w:p>
      <w:pPr>
        <w:pStyle w:val="Heading2"/>
      </w:pPr>
      <w:r>
        <w:t>14.8 Collection Search GUI (tlo-search)</w:t>
      </w:r>
    </w:p>
    <w:p>
      <w:pPr/>
      <w:r>
        <w:t>tlo-search shall resolve TLOHome from --TLOHome (including the retained hidden compatibility alias) or the TLOHome environment variable; if none is supplied, it must fail clearly rather than use a developer-specific default path and requires readable bootlist.csv/setlists paths as applicable. Normal search reads the two positional bootlist columns and honors a leading sep= delimiter declaration; an empty normal search returns all rows. Deep search requires a non-empty term and searches setlist text under TLOHome/setlists. Search expressions support case-insensitive |AND| and |OR| with parentheses and quoted outer-term stripping. --find supplies the initial query; otherwise the clipboard seeds the first search. Result View derives the normal setlist filename directly from Show, enforces the confirmation/open-count limits, and reports missing/unreadable inputs without terminating the application. When opening a normal-search result, tlo-search must call the shared inventory/postprocess setlist filename creator directly. Supported partial date tokens such as 1973-12-xx must therefore retain the same internal dashes as the originally exported .txt filename. Search version reporting must derive from the central tlo_version module rather than a separate internal version constant.</w:t>
      </w:r>
    </w:p>
    <w:p>
      <w:pPr>
        <w:pStyle w:val="Heading2"/>
      </w:pPr>
      <w:r>
        <w:t>14.9 Artist Database Search GUI (search-artist-db)</w:t>
      </w:r>
    </w:p>
    <w:p>
      <w:pPr/>
      <w:r>
        <w:t>search-artist-db shall resolve TLOHome from --TLOHome or TLOHome, open TLOHome/TLO_DBs/artists.sqlite, and search the terms table by exact case-insensitive term_text. A blank query reports that a search term is required. No matching artist reports no results. Matching artists are listed by master name and their associated master/alias terms in term order. Missing database and SQLite errors are reported in readable GUI messages without crashing unrelated TLO state.</w:t>
      </w:r>
    </w:p>
    <w:p>
      <w:pPr/>
      <w:r>
        <w:t>The main Full Inventory console shall be a non-wrapping text area with its existing vertical scrolling plus a horizontal scrollbar along the bottom. Long paths/log lines must remain on one line and be horizontally scrollable.</w:t>
      </w:r>
    </w:p>
    <w:p>
      <w:pPr>
        <w:pStyle w:val="Heading2"/>
      </w:pPr>
      <w:r>
        <w:t>14.10 Delete Extra Tags Availability</w:t>
      </w:r>
    </w:p>
    <w:p>
      <w:pPr/>
      <w:r>
        <w:t>Delete Extra Tags is a modifier of an active tagging mode, not an independent mutation. The main-GUI checkbox is disabled/greyed and forced unchecked whenever Tag In Place, Tag Copy, and Tag Copy/Delete Original are all unchecked, and enabled whenever any one is selected. The three tag modes remain mutually exclusive.</w:t>
      </w:r>
    </w:p>
    <w:p>
      <w:pPr>
        <w:pStyle w:val="Heading2"/>
      </w:pPr>
      <w:r>
        <w:t>14.11 Add Shows Backup Cleanup</w:t>
      </w:r>
    </w:p>
    <w:p>
      <w:pPr/>
      <w:r>
        <w:t>REQ-ADDSHOW-DELETE-001  Add Shows backup/replacement cleanup uses deleteReplacedFolders.bat on Windows and deleteBackupFolders.sh elsewhere. Targets are derived only from a bootlist row retaining its recorded volume identity and a canonical rooted path. Literal .. components, bare drive/mount roots, drive-relative forms such as E:, and TLOHome or ancestors of TLOHome are rejected; a deletion target must be at least one directory below a recognized root. Windows .bat entries display the recorded source label in [Volume Label] format ([] for unlabeled) and fully quote each rooted target path. For each labeled entry, the batch file MUST compare the current drive volume label to the recorded label immediately before allowing deletion; a mismatch, disconnected drive, unavailable PowerShell/label probe, or empty actual label MUST skip that entry. Labels are encoded for the runtime comparison so cmd.exe punctuation, percent signs and Unicode cannot change control flow. Windows scripts MUST emit no active delete command for an unlabeled entry; instead show a SKIPPED/manual-verification line and a disabled example command. The recorded volume need not be connected at script generation time. Each active entry MUST derive the checked drive letter and the rmdir target from one editable TLO_DELETE_TARGET assignment, so changing the drive letter cannot cause the guard to check a different drive. The expected label is encoded; to target a different labeled backup drive, regenerate that entry rather than changing only the displayed comment. The batch output must disable delayed expansion, encode literal percent signs as %%, quote all deletion paths, and write CRLF line endings. For the POSIX .sh variant, WSL /mnt/&lt;drive&gt; roots must check the Windows volume label using powershell.exe before considering findmnt; other platforms may use their native exact-label mechanism. No generated command may weaken canonical delete-target safety checks.</w:t>
      </w:r>
    </w:p>
    <w:p>
      <w:pPr/>
      <w:r>
        <w:t>REQ-ADDSHOW-DELETE-002  A new Add Shows session must not append silently to cleanup commands from an older session. When a prior deleteBackupFolders script exists and the user chooses Continue, TLO archives that script under TLOHome/logs with a timestamp and starts a fresh session script. For the POSIX deleteBackupFolders.sh variant, every active destructive command must retain a verifiable expected volume identity and check it at execution time before deletion; a mismatch or inability to verify the volume aborts rather than deleting. If the recorded volume is unlabeled and no stronger identity is available, TLO must not emit an active rm -rf command for that entry. It must emit a non-destructive skipped/manual-verification entry, with any example delete command disabled as a comment until the user manually verifies and enables it. Windows deleteReplacedFolders.bat MUST provide the same per-entry fail-closed identity protection specified in REQ-ADDSHOW-DELETE-001; one mismatch skips that deletion without silently authorizing any other deletion.</w:t>
      </w:r>
    </w:p>
    <w:p>
      <w:pPr>
        <w:pStyle w:val="Heading1"/>
        <w:rPr/>
      </w:pPr>
      <w:r>
        <w:t>15. Ctrl-C, Quit, and Startup Errors</w:t>
      </w:r>
    </w:p>
    <w:p>
      <w:pPr>
        <w:pStyle w:val="ListBullet"/>
        <w:numPr>
          <w:ilvl w:val="0"/>
          <w:numId w:val="1"/>
        </w:numPr>
        <w:rPr/>
      </w:pPr>
      <w:r>
        <w:t>Trap Ctrl-C. When Ctrl-C occurs during active inventory scanning or worker execution, request cancellation, terminate the active path-worker pool before log deletion when one exists, delete only tokenized logs whose tokens were newly allocated by the interrupted run, and exit cleanly. Tokens reused from an earlier inventory must never be deleted wholesale during cancellation.</w:t>
      </w:r>
    </w:p>
    <w:p>
      <w:pPr>
        <w:pStyle w:val="ListBullet"/>
        <w:numPr>
          <w:ilvl w:val="0"/>
          <w:numId w:val="1"/>
        </w:numPr>
        <w:rPr/>
      </w:pPr>
      <w:r>
        <w:t>Trap the Quit button.</w:t>
      </w:r>
    </w:p>
    <w:p>
      <w:pPr>
        <w:pStyle w:val="ListBullet"/>
        <w:numPr>
          <w:ilvl w:val="0"/>
          <w:numId w:val="1"/>
        </w:numPr>
        <w:rPr/>
      </w:pPr>
      <w:r>
        <w:t>Before inventory starts, Quit closes the GUI normally and no logs are deleted.</w:t>
      </w:r>
    </w:p>
    <w:p>
      <w:pPr>
        <w:pStyle w:val="ListBullet"/>
        <w:numPr>
          <w:ilvl w:val="0"/>
          <w:numId w:val="1"/>
        </w:numPr>
        <w:rPr/>
      </w:pPr>
      <w:r>
        <w:t>During active inventory scanning or worker execution, Quit must request cancellation, terminate the active path-worker pool before log deletion when one exists, delete only tokenized logs whose tokens were newly allocated by the interrupted run, close/destroy the GUI window, and exit the process so child workers cannot continue writing logs after the GUI closes. Reused pre-existing log tokens are not cancellation-cleanup targets. When scanning has finished but cleanup, sibling-collection aggregation, or output generation is still active, the GUI must warn before a forced exit that an in-progress collection move can be interrupted and that TLO will attempt journal-based automatic rollback on the next normal Inventory run.</w:t>
      </w:r>
    </w:p>
    <w:p>
      <w:pPr>
        <w:pStyle w:val="ListBullet"/>
        <w:numPr>
          <w:ilvl w:val="0"/>
          <w:numId w:val="1"/>
        </w:numPr>
        <w:rPr/>
      </w:pPr>
      <w:r>
        <w:t>The implementation must delete logs only after the worker-pool termination request has been issued, so workers do not recreate or continue writing tokenized logs after cleanup.</w:t>
      </w:r>
    </w:p>
    <w:p>
      <w:pPr>
        <w:pStyle w:val="ListBullet"/>
        <w:numPr>
          <w:ilvl w:val="0"/>
          <w:numId w:val="1"/>
        </w:numPr>
        <w:rPr/>
      </w:pPr>
      <w:r>
        <w:t>If the active inventory is running serially rather than in a process pool, Quit must still request cancellation, delete only newly allocated active-run tokenized logs, and exit the process. Reused tokens remain intact.</w:t>
      </w:r>
    </w:p>
    <w:p>
      <w:pPr>
        <w:pStyle w:val="ListBullet"/>
        <w:numPr>
          <w:ilvl w:val="0"/>
          <w:numId w:val="1"/>
        </w:numPr>
        <w:rPr/>
      </w:pPr>
      <w:r>
        <w:t>After inventory scanning has completed, Quit must not delete completed logs. If cleanup, aggregation, or output generation is still running, allow that work to finish unless the user confirms forced exit. After postprocess completion, Quit closes the GUI normally.</w:t>
      </w:r>
    </w:p>
    <w:p>
      <w:pPr>
        <w:pStyle w:val="ListBullet"/>
        <w:numPr>
          <w:ilvl w:val="0"/>
          <w:numId w:val="1"/>
        </w:numPr>
        <w:rPr/>
      </w:pPr>
      <w:r>
        <w:t>Startup error messages must be presented to the user in a readable way.</w:t>
      </w:r>
    </w:p>
    <w:p>
      <w:pPr>
        <w:pStyle w:val="ListBullet"/>
        <w:numPr>
          <w:ilvl w:val="0"/>
          <w:numId w:val="1"/>
        </w:numPr>
        <w:rPr/>
      </w:pPr>
      <w:r>
        <w:t>After the inventory phase finishes, print a console message stating that cleanup, aggregation, and output generation still need to run.</w:t>
      </w:r>
    </w:p>
    <w:p>
      <w:pPr>
        <w:pStyle w:val="ListBullet"/>
        <w:numPr>
          <w:ilvl w:val="0"/>
          <w:numId w:val="1"/>
        </w:numPr>
        <w:rPr/>
      </w:pPr>
      <w:r>
        <w:t>After cleanup, aggregation, and output generation finish, print a console message stating that cleanup, aggregation, and output generation are complete.</w:t>
      </w:r>
    </w:p>
    <w:p>
      <w:pPr>
        <w:pStyle w:val="ListBullet"/>
        <w:numPr>
          <w:ilvl w:val="0"/>
          <w:numId w:val="1"/>
        </w:numPr>
        <w:rPr/>
      </w:pPr>
      <w:r>
        <w:t>In GUI mode, errors must not be written only to a console window that closes before they can be read.</w:t>
      </w:r>
    </w:p>
    <w:p>
      <w:pPr>
        <w:pStyle w:val="Normal"/>
        <w:rPr/>
      </w:pPr>
      <w:r/>
    </w:p>
    <w:p>
      <w:pPr>
        <w:pStyle w:val="Heading1"/>
      </w:pPr>
      <w:r>
        <w:t>16. Non-Functional and Input-Safety Requirements</w:t>
      </w:r>
    </w:p>
    <w:p>
      <w:pPr>
        <w:pStyle w:val="Heading2"/>
      </w:pPr>
      <w:r>
        <w:t>16.1 Bounded Reads and Malformed Input</w:t>
      </w:r>
    </w:p>
    <w:p>
      <w:pPr>
        <w:pStyle w:val="ListBullet"/>
      </w:pPr>
      <w:r>
        <w:t>The selected-setlist metadata header reader is an untrusted-input path and must follow the same bounded-read policy: reject text files larger than 16 MiB and read at most a 1 MiB sample because only the first 100 usable metadata lines are consumed. It must not read the entire file and then discard the remainder.</w:t>
      </w:r>
    </w:p>
    <w:p>
      <w:r>
        <w:t>Files encountered in scanned collection trees are untrusted input. Ordinary text sampling must read no more than 1 MiB from disk before decoding and applying any smaller character-sample limit. A requested full ordinary-text read larger than 16 MiB must be rejected with a readable outcome instead of loading the complete file into memory. Every later full read of a selected plain-text/RTF/DOCX setlist, including Tag, descriptor/date fallback, sibling aggregation, and duplicate review, must use the same bounded reader. Oversized ordinary-text candidates must be disqualified before selection. Text decoding must use the shared reader. BOM-marked UTF-16 and NUL-dominant BOM-less UTF-16 LE/BE must be recognized before UTF-8 because NUL bytes are legal UTF-8. Otherwise clean UTF-8/UTF-8-sig is preferred. A bounded sample ending inside a UTF-8 multibyte character must retain the valid UTF-8 prefix instead of causing the whole sample to fall back to a single-byte encoding. If a file contains valid UTF-8 plus isolated legacy bytes, valid UTF-8 spans must remain intact while only invalid bytes fall back to cp1252/latin-1. RTF and DOCX selected setlists must be decoded through the same shared bounded reader rather than as raw container/control bytes. RTF hexadecimal and Unicode character escapes must be decoded before RTF control words are stripped so accented artist, venue, and location text is preserved.</w:t>
      </w:r>
    </w:p>
    <w:p>
      <w:r>
        <w:t>For DOCX setlist candidates, inspect the ZipInfo.file_size of word/document.xml before reading or decompressing it. Reject the candidate when the uncompressed entry exceeds 16 MiB. Missing, corrupt, encrypted, oversized, binary-like, or otherwise unreadable candidates must be treated as unusable input, reported with the affected path when practical, and must not stop unrelated roots or shows from being processed.</w:t>
      </w:r>
    </w:p>
    <w:p>
      <w:pPr/>
      <w:r>
        <w:t>REQ-TEXT-001  RTF setlist conversion must be group-aware: destination groups such as font/color/style/info/picture/header/footer metadata are skipped; \ansicpgN, \ucN, \uN and hexadecimal character escapes are honored; \par, \line, and TextEdit backslash-newline boundaries become line breaks; \tab becomes a space; and escaped braces/backslashes are decoded without leaking control syntax into Artist/Venue/Location evidence. Symbol controls must preserve text semantics: \lquote and \rquote become apostrophes; \ldblquote and \rdblquote become double quotes; \emdash and \endash become a hyphen; \~ becomes a space; \_ becomes a hyphen; \- emits nothing; \emspace, \enspace, and \qmspace become spaces; and \bullet is retained for later normalization. Legacy binary .doc files are not decoded as text and are treated as unsupported.</w:t>
      </w:r>
    </w:p>
    <w:p>
      <w:pPr>
        <w:pStyle w:val="Heading2"/>
      </w:pPr>
      <w:r>
        <w:t>16.2 Availability, Timeout, and External Command Safety</w:t>
      </w:r>
    </w:p>
    <w:p>
      <w:pPr>
        <w:pStyle w:val="ListBullet"/>
      </w:pPr>
      <w:r>
        <w:t>On macOS, paths passed to osascript for Trash/Recycle Bin operations must be passed as argv/data rather than interpolated into AppleScript source text.</w:t>
      </w:r>
    </w:p>
    <w:p>
      <w:pPr>
        <w:pStyle w:val="ListBullet"/>
      </w:pPr>
      <w:r>
        <w:t>The duplicate-cleanup FLAC full-decode validator must use a finite per-file timeout of 180 seconds. A timeout is unverifiable, not healthy or corrupt; if a kept folder contains an unverifiable FLAC, do not relocate that duplicate cluster.</w:t>
      </w:r>
    </w:p>
    <w:p>
      <w:r>
        <w:t>REQ-CANCEL-001  External requests, interprocess coordination waits, and converter invocations must use finite timeouts. The setlist.fm state location, atomic-write rules, 20-second reservation-lock deadline, normal/upgraded request spacing and quota are canonical in Appendix I. SHN/SHNF conversion uses a maximum per-file runtime of 30 minutes. A timeout must produce a readable observation or error and allow processing to continue when the affected operation is optional. GUI-worker marshaling waits must also use a finite deadline; if a scheduled Tk callback cannot complete before the deadline, the worker must fail with the existing GUI-closed/startup error rather than wait indefinitely. Lock-status probes must not create directories or modify lock-file contents, and lock acquisition must tolerate a brief transient probe collision before reporting the lock busy.</w:t>
      </w:r>
    </w:p>
    <w:p>
      <w:pPr>
        <w:pStyle w:val="Heading2"/>
      </w:pPr>
      <w:r>
        <w:t>16.3 Collection Size and Path Depth</w:t>
      </w:r>
    </w:p>
    <w:p>
      <w:r>
        <w:t>TLO imposes no application-specific fixed ceiling on the number of search roots, show groups, music folders, or media files. Practical capacity is determined by the selected performance mode, configured worker cap, available memory, filesystem performance, and platform limits. Path length and directory depth are subject to the host operating system and filesystem; path-too-long, inaccessible, or malformed-path failures must be reported for the affected item without crashing unrelated roots.</w:t>
      </w:r>
    </w:p>
    <w:p>
      <w:r>
        <w:t>The bounded-read rules in Section 16.1 are the required memory protection for individual candidate text files. No guarantee is made that a complete inventory has a fixed memory ceiling independent of the number of metadata records being processed.</w:t>
      </w:r>
    </w:p>
    <w:p>
      <w:pPr>
        <w:pStyle w:val="Heading2"/>
      </w:pPr>
      <w:r>
        <w:t>16.4 Diagnostic Logging and Exception-Handling Policy</w:t>
      </w:r>
    </w:p>
    <w:p>
      <w:pPr>
        <w:pStyle w:val="ListBullet"/>
      </w:pPr>
      <w:r>
        <w:t>Intentional best-effort broad exception boundaries must not silently pass. Record suppressed exceptions at debug level, narrow the exception type where practical, and surface update-settings persistence failures in the update-check result so a read-only/full TLOHome does not fail quietly.</w:t>
      </w:r>
    </w:p>
    <w:p>
      <w:r>
        <w:t>TLOHome/CorruptFlacs.txt is append-only diagnostic history. Duplicate paths across runs are intentionally allowed as evidence of repeated failure. TLO does not automatically rotate, truncate, or deduplicate this file; the operator may archive or delete it when no inventory or Tag action is active.</w:t>
      </w:r>
    </w:p>
    <w:p>
      <w:r>
        <w:t>TLOHome/logs/runSettings.log is also append-only and is not automatically rotated or truncated. Tokenized per-run logs remain governed by the active-run allocation, replacement, and cleanup rules in Section 12. Operators may archive runSettings.log when no TLO action is active.</w:t>
      </w:r>
    </w:p>
    <w:p>
      <w:pPr>
        <w:pStyle w:val="Heading1"/>
      </w:pPr>
      <w:r>
        <w:t>17. Test Suite Architecture and Execution Requirements</w:t>
      </w:r>
    </w:p>
    <w:p>
      <w:pPr>
        <w:pStyle w:val="Heading2"/>
      </w:pPr>
      <w:r>
        <w:t>17.1 Test Categories</w:t>
      </w:r>
    </w:p>
    <w:p>
      <w:pPr/>
      <w:r>
        <w:t>The regression suite shall separate fast unit checks, executable behavior checks, multi-module integration scenarios, source/document/release contracts, and GUI checks into tests/unit, tests/behavior, tests/integration, and tests/contracts.</w:t>
      </w:r>
    </w:p>
    <w:p>
      <w:pPr>
        <w:pStyle w:val="ListBullet"/>
      </w:pPr>
      <w:r>
        <w:t>Source-text and documentation assertions remain valid contract tests, but they shall not be presented as behavioral assurance.</w:t>
      </w:r>
    </w:p>
    <w:p>
      <w:pPr>
        <w:pStyle w:val="ListBullet"/>
      </w:pPr>
      <w:r>
        <w:t>Important application behavior shall be tested by executing functions or workflows rather than only inspecting source text.</w:t>
      </w:r>
    </w:p>
    <w:p>
      <w:pPr>
        <w:pStyle w:val="Heading2"/>
      </w:pPr>
      <w:r>
        <w:t>17.2 Pytest Markers</w:t>
      </w:r>
    </w:p>
    <w:p>
      <w:pPr>
        <w:pStyle w:val="ListBullet"/>
      </w:pPr>
      <w:r>
        <w:t>Every test module must carry exactly one category marker from unit, behavior, contract, or integration. Trait markers such as gui and slow may be added in addition. The suite must contain and use both gui and slow, and a contract test must enforce category-marker coverage across tests/.</w:t>
      </w:r>
    </w:p>
    <w:p>
      <w:pPr/>
      <w:r>
        <w:t>The suite shall register and use the pytest markers contract, gui, integration, slow, behavior, and unit. Unknown-marker warnings are not acceptable.</w:t>
      </w:r>
    </w:p>
    <w:p>
      <w:pPr>
        <w:pStyle w:val="Heading2"/>
      </w:pPr>
      <w:r>
        <w:t>17.3 Tkinter Handling</w:t>
      </w:r>
    </w:p>
    <w:p>
      <w:pPr/>
      <w:r>
        <w:t>Tk-dependent regression modules must be skipped cleanly before module import when tkinter is not installed, so a minimal Python installation still runs the non-GUI suite without collection failures. Individual GUI tests may also use pytest.importorskip("tkinter", reason="Tkinter is required for GUI regression tests"). Tests that execute Tk widgets may skip when no graphical display is available; the Linux CI build shall execute them under Xvfb. Worker-thread completion callbacks scheduled onto Tk must treat both tkinter.TclError and RuntimeError indicating that the main thread is no longer in the Tk main loop as an ordinary closed-window/shutdown condition; those shutdown races must not emit daemon-thread tracebacks.</w:t>
      </w:r>
    </w:p>
    <w:p>
      <w:pPr>
        <w:pStyle w:val="Heading2"/>
      </w:pPr>
      <w:r>
        <w:t>17.4 Behavioral and Integration Coverage</w:t>
      </w:r>
    </w:p>
    <w:p>
      <w:pPr>
        <w:pStyle w:val="ListBullet"/>
      </w:pPr>
      <w:r>
        <w:t>Behavioral and integration tests must exercise real parser, metadata, copy/verification, GUI-state, and mutation paths rather than relying only on source-text inspection. Pure predicates should receive focused unit coverage where practical, and regressions involving malformed/untrusted input must include executable fixtures that reproduce the relevant boundary condition.</w:t>
      </w:r>
    </w:p>
    <w:p>
      <w:pPr/>
      <w:r>
        <w:t>Behavioral coverage shall execute the shared progress-indicator interval, the actual checkbox grid positions, command-line parsing, Artist in Album tag behavior, parenthetical preservation, and exact runSettings.log output.</w:t>
      </w:r>
    </w:p>
    <w:p>
      <w:pPr/>
      <w:r>
        <w:t>The integration category shall contain at least ten small synthetic filesystem or workflow scenarios covering grouping, unrelated-sibling blocking, rename path propagation, same-filesystem Copy/Delete moves without size checks, cross-filesystem Copy/Delete verification, ordinary Tag Copy verification, dry-run non-modification, Add Shows, and labeled-volume re-inventory replacement. Transfer coverage must include nested non-music files and empty descendant directories for same-filesystem moves, cross-filesystem Copy/Delete Original, and ordinary Tag Copy.</w:t>
      </w:r>
    </w:p>
    <w:p>
      <w:pPr>
        <w:pStyle w:val="ListBullet"/>
      </w:pPr>
      <w:r>
        <w:t>Synthetic audio placeholders and mocked Mutagen/conversion operations may be used when real encoded audio is not necessary to exercise the workflow.</w:t>
      </w:r>
    </w:p>
    <w:p>
      <w:pPr>
        <w:pStyle w:val="Heading2"/>
      </w:pPr>
      <w:r>
        <w:t>17.5 Build Process Compatibility</w:t>
      </w:r>
    </w:p>
    <w:p>
      <w:pPr>
        <w:pStyle w:val="ListBullet"/>
      </w:pPr>
      <w:r>
        <w:t>tlo_version.py is the authoritative release-version/summary source. Per-module stale package-version comments and duplicated __version_summary__ strings must not be carried forward. Application/source modules may retain a simple __version__ stamp when required by release contracts, but pytest test modules and test infrastructure must not carry independent __version__ stamps. Tests that open current versioned source-bundle artifacts must derive those filenames from tlo_version.VERSION rather than hard-code the current build number.</w:t>
      </w:r>
    </w:p>
    <w:p>
      <w:pPr/>
      <w:r>
        <w:t>The flat source-bundle root shall retain test_tlo_requirements.py as a backward-compatibility subset entry point for the current separately versioned TLO GitHub Build Process and historical/direct callers. It must not be used as the sole official release-test gate. The official release process shall run the full categorized pytest suite by source-root discovery, including current build-specific regression modules, with the compatibility subset retained only for backward compatibility.</w:t>
      </w:r>
    </w:p>
    <w:p>
      <w:pPr>
        <w:pStyle w:val="Heading1"/>
      </w:pPr>
      <w:r>
        <w:t>18. Duplicate Cleanup Utility Requirements</w:t>
      </w:r>
    </w:p>
    <w:p>
      <w:pPr>
        <w:pStyle w:val="Heading2"/>
      </w:pPr>
      <w:r>
        <w:t>18.1 Entry Point, TLOHome, and Input Path</w:t>
      </w:r>
    </w:p>
    <w:p>
      <w:pPr/>
      <w:r>
        <w:t>The release shall include tlo-deleteDupes.py as a console main. It shall accept one required positional Input Path plus --TLOHome and the compatibility alias --myTLO. TLOHome resolution shall use the same shared resolution logic as the other mains. The Input Path shall be rejected unless it is a fully qualified, existing, readable directory path.</w:t>
      </w:r>
    </w:p>
    <w:p>
      <w:pPr>
        <w:pStyle w:val="Heading2"/>
      </w:pPr>
      <w:r>
        <w:t>18.2 Candidate Discovery and Content-Equivalence Clusters</w:t>
      </w:r>
    </w:p>
    <w:p>
      <w:pPr/>
      <w:r>
        <w:t>The utility shall search the Input Path recursively and analyze same-parent sibling directories. Candidate discovery shall combine two rules. First, an exact copy family consists of folders whose names reduce to the same base when a terminal case-insensitive (copyN) or (copy N) suffix is removed; X, X (copy2), and X (copy3) therefore belong to one candidate family, and numbered copies shall be compared with one another even when X is absent or has different contents. Second, folders whose normalized artist and date are identical shall be candidate siblings even when the remaining folder-name text differs. Same-artist/date discovery shall recognize a standalone four-digit 19xx/20xx year, a yyyy-mm-dd style date with numeric or xx month/day components, and a four-digit-year to four-digit-year range. An unknown date without an actual four-digit year shall not broaden candidate discovery. Candidate discovery alone shall never establish that two folders are duplicates.</w:t>
      </w:r>
    </w:p>
    <w:p>
      <w:pPr>
        <w:pStyle w:val="Heading2"/>
      </w:pPr>
      <w:r>
        <w:t>18.3 Duplicate Comparison Rule</w:t>
      </w:r>
    </w:p>
    <w:p>
      <w:pPr/>
      <w:r>
        <w:t>Before moving any candidate into the duplicates holding folder, the utility shall compare the complete recursive manifests of all folders in each same-parent discovery component. A duplicate match requires the same relative directory structure, including empty nested directories, and the same relative file names and file sizes throughout the entire tree. The duplicate-cleanup comparison intentionally does not hash or compare file bytes and does not use timestamps, ownership, permissions, or other filesystem metadata. Corresponding symbolic links, when present, shall have the same relative name and link target and shall not be followed during comparison. Folders with identical manifests shall form a content-equivalence cluster, so copies are compared with one another in addition to being compared with unsuffixed folders. Each cluster containing two or more identical trees shall keep exactly one folder and relocate the remaining cluster members. Prefer an unsuffixed folder as the keeper when one exists; if more than one unsuffixed folder is identical, keep the alphabetically first name without regard to case. If a cluster contains only numbered copy folders, keep the lowest-numbered copy, with alphabetical order as the final tie-breaker. Folders in different content-equivalence clusters remain in place as separate masters/variants. Thus, if X differs from X (copy2) and X (copy3), but copy2 and copy3 match one another, X and copy2 remain while copy3 is relocated.</w:t>
      </w:r>
    </w:p>
    <w:p>
      <w:pPr>
        <w:pStyle w:val="Heading2"/>
      </w:pPr>
      <w:r>
        <w:t>18.4 FLAC Integrity Validation and Repair Before Move</w:t>
      </w:r>
    </w:p>
    <w:p>
      <w:pPr>
        <w:pStyle w:val="ListBullet"/>
      </w:pPr>
      <w:r>
        <w:t>Full FLAC decode validation must use a finite 180-second per-file timeout. Timeout means unverifiable; an unverifiable FLAC in the kept folder blocks relocation of that duplicate cluster and is reported to the user.</w:t>
      </w:r>
    </w:p>
    <w:p>
      <w:pPr/>
      <w:r>
        <w:t>After a content-equivalence cluster contains two or more identical trees under 18.3, and before any duplicate member of that cluster is moved into the duplicates holding folder, tlo-deleteDupes shall recursively validate every regular .flac file in the selected keeper directory tree. Validation shall decode the complete FLAC audio stream with the same application-bundled ffmpeg resolver used for SHN conversion and shall treat any decoder error or nonzero decoder exit status as corruption. Validation must explicitly select the FLAC demuxer (-f flac) and restrict input protocols to file only; renamed non-FLAC content must not be accepted through ffmpeg content probing. A successful tag/header read alone is not sufficient.</w:t>
      </w:r>
    </w:p>
    <w:p>
      <w:pPr/>
      <w:r>
        <w:t>For each corrupt FLAC in the selected keeper directory, the utility shall look for the same relative FLAC path in the other members of that same content-equivalence cluster. Copy-suffixed repair sources shall retain ascending numeric copy order (copy1, copy2, copy3, and so on). Qualifying unsuffixed repair sources shall be considered alphabetically without regard to case. A candidate FLAC may be used as a replacement only if its complete FLAC stream validates successfully. Folders in a different content-equivalence cluster shall not be used as repair sources and shall remain outside that cluster's relocation set.</w:t>
      </w:r>
    </w:p>
    <w:p>
      <w:pPr/>
      <w:r>
        <w:t>When a healthy replacement is found, tlo-deleteDupes shall copy it to a temporary file in the keeper's directory and byte-verify that staged copy before any keeper replacement. Before installation, the utility shall create a backup of the existing keeper and verify that backup by both size and SHA-256 against the pre-repair keeper snapshot. A backup that is partial, unreadable, or otherwise unverifiable must never be restored over the keeper. Only after the staged source and keeper backup are verified may the staged source replace the keeper atomically. The installed replacement shall be byte-verified and decoded again. If post-install verification fails, rollback may use only the previously verified keeper backup. A staging-copy, backup-copy, or installation failure that occurs before installation completes must leave the original keeper bytes unchanged. Every duplicate member of that content-equivalence cluster remains intact until repair attempts for its keeper have completed.</w:t>
      </w:r>
    </w:p>
    <w:p>
      <w:pPr/>
      <w:r>
        <w:t>If no healthy replacement can be found, or a replacement cannot be installed successfully, the utility shall report the unrepaired corrupt FLAC and leave that entire content-equivalence cluster in place for later review. No member of a cluster may be relocated while the selected keeper still contains an unrepaired corrupt FLAC. The selected keeper directory itself shall never be moved. An unverifiable keeper validation, including timeout, file-open or permission failure, I/O/resource failure, or validator-infrastructure failure, is handled the same fail-closed way: preserve the entire cluster in place and do not classify the file as corrupt merely because it could not be opened or validated. A missing validator return code is validator-infrastructure failure and is therefore unverifiable, never healthy. The ffmpeg validation subprocess should use a stable C locale for diagnostic classification where the platform honors LC_ALL.</w:t>
      </w:r>
    </w:p>
    <w:p>
      <w:pPr>
        <w:pStyle w:val="Heading2"/>
      </w:pPr>
      <w:r>
        <w:t>18.5 Partition-Root Duplicates Holding Folder and deletedDirs.txt</w:t>
      </w:r>
    </w:p>
    <w:p>
      <w:pPr/>
      <w:r>
        <w:t>For the filesystem/partition containing the Input Path, tlo-deleteDupes shall use a folder named duplicates at the root of the partition. If that folder does not exist, the utility shall create it before moving qualifying duplicates. On Windows this is the drive/share root (for example E:\\duplicates). On Linux and macOS this is the mounted-filesystem root containing the Input Path (for example /mnt/music/duplicates or /Volumes/Music/duplicates). When and only when a folder is a non-keeper member of a content-equivalence cluster, that duplicate directory shall be moved as one complete directory tree into the holding folder; the utility shall not enumerate or move child files individually. Keeper selection shall prefer an unsuffixed folder when possible, but an unsuffixed folder is not globally sacrosanct: a different content cluster may keep a numbered copy when that is the only representative of that variant. The utility shall not overwrite an existing holding-folder entry: when the same directory name already exists in duplicates, use a collision-safe suffix such as (moved 2), (moved 3), and so on. If the Input Path includes the partition root, the utility shall exclude the duplicates holding folder from duplicate discovery so previously moved material is not analyzed again. After each successful move, the utility shall append the full pre-move source path of that duplicate directory to TLOHome/deletedDirs.txt and flush the log. Non-matching, singleton-cluster, or unverifiable candidates shall be left in place and shall not be logged.</w:t>
      </w:r>
    </w:p>
    <w:p>
      <w:pPr>
        <w:pStyle w:val="Heading2"/>
      </w:pPr>
      <w:r>
        <w:t>18.6 Duplicate Comparison Mismatch Log</w:t>
      </w:r>
    </w:p>
    <w:p>
      <w:pPr/>
      <w:r>
        <w:t>When two folders in the same discovery component are compared and their recursive manifests differ, tlo-deleteDupes shall append one simple CSV record to TLOHome/deleteDupesMismatches.txt. Copies shall therefore be compared with one another as well as with unsuffixed candidates. Each record shall contain: folder name, folder name, simple reason. Only the directory names shall be recorded, not full paths. Folder names containing commas shall be CSV-quoted. Reasons shall remain concise and use forms such as different number of files, different sub-structure, different file names, or &lt;relative-file-name&gt; different sizes. The mismatch log is separate from deletedDirs.txt, which remains limited to folders actually moved into the duplicates holding folder.</w:t>
      </w:r>
    </w:p>
    <w:p>
      <w:pPr>
        <w:pStyle w:val="Heading2"/>
      </w:pPr>
      <w:r>
        <w:t>18.7 Ctrl-C Handling</w:t>
      </w:r>
    </w:p>
    <w:p>
      <w:pPr/>
      <w:r>
        <w:t>If Ctrl-C is invoked, the utility shall stop further scanning/move work, unwind through the open deletedDirs.txt and deleteDupesMismatches.txt contexts so both log files are closed, report cancellation, and return exit status 130. Any entries successfully logged before the interrupt remain in their respective log files; any duplicate directory already moved into the partition-root duplicates folder remains there.</w:t>
      </w:r>
    </w:p>
    <w:p>
      <w:pPr>
        <w:pStyle w:val="Heading2"/>
      </w:pPr>
      <w:r>
        <w:t>18.8 Distribution and Dependency Requirements</w:t>
      </w:r>
    </w:p>
    <w:p>
      <w:pPr/>
      <w:r>
        <w:t>The Windows onefile and shared-onedir distributions, generic Linux distribution, and macOS distribution shall include the tlo-deleteDupes functionality with the same checksum-pinned FFmpeg 9.0.2 executable used by SHN conversion. Windows tlo-deleteDupes.cmd shall carry that executable inside its adjacent private embedded-Python runtime under tlo_ffmpeg_bin. Linux/macOS and local Windows PyInstaller packaging shall add the exact prepared ffmpeg binary directly. send2trash is not required by tlo-deleteDupes because qualifying duplicate directories are moved into the partition-root duplicates holding folder.</w:t>
      </w:r>
    </w:p>
    <w:p w:rsidR="00000000">
      <w:pPr/>
      <w:r>
        <w:t>Native release builds shall use CPython 3.13.16 and the exact hashed dependency lock in requirements-build.txt. PyInstaller shall be exactly 6.22.3; build scripts shall fail closed when the interpreter or required native-build dependency versions differ. The official GitHub process shall install the lock with --require-hashes, run Ruff from the pinned environment, and run pip-audit 2.10.1 in an isolated temporary environment whose complete runtime closure is separately pinned and hashed in requirements-audit.txt. The audit environment shall verify CPython 3.13.16's ensurepip bootstrap, install the audit closure with dependency resolution disabled and hashes required, run pip check, verify the audit-tool version, and run pip-audit with pip subprocess use disabled. The audit helper shall remove inherited PIP_* configuration from its subprocess environment and shall use pip --isolated for pip installation and consistency checks. Before it audits a requested build lock, it shall audit requirements-audit.txt itself with strict, hash-required, no-dependency, pip-disabled settings. Because PEP 508 platform markers are host-sensitive, the helper shall also audit a marker-neutral exact-pin view of the requested lock so Windows-only and macOS-only pinned packages are checked even when the audit runs on another platform. When the local Windows packaging script performs Authenticode signing, it shall select signtool.exe only from the installed Windows Kits x64 toolchain, require the SignTool binary itself to have a valid Microsoft Authenticode signature, record its exact path, SHA-256, file version, signature status, and signer in the tool receipt, and verify every signed executable with signtool verify /pa /all /v before malware scanning. Each platform build shall record Python, PyInstaller, FFmpeg, and dependency-lock identity in its build receipt. Any local verification represented as a release verification run shall use the pinned release dependency environment from requirements-build.txt, shall set TLO_RELEASE_VERIFY=1 for the full pytest run, and shall fail if Ruff is unavailable. A non-release developer run may skip the Ruff regression test when Ruff is unavailable, but any verification record for that run must state that lint was not attested. If any required release-gate tool or release-gate check was unavailable or did not execute, the verification record heading shall include "NOT RELEASE-ATTESTED"; a passing pytest count alone shall not be presented as a complete release attestation.</w:t>
      </w:r>
    </w:p>
    <w:p>
      <w:pPr>
        <w:pStyle w:val="Heading1"/>
      </w:pPr>
      <w:r>
        <w:t>19. Research Utility Requirements</w:t>
      </w:r>
    </w:p>
    <w:p>
      <w:pPr>
        <w:pStyle w:val="Heading2"/>
      </w:pPr>
      <w:r>
        <w:t>19.1 Entry Point, TLOHome, and Query Input</w:t>
      </w:r>
    </w:p>
    <w:p>
      <w:pPr/>
      <w:r>
        <w:t>The release shall include tlo-research.py as a standalone console main. It shall accept one required research input string. The string may be supplied as one quoted command-line argument or as multiple positional words that are joined with spaces. It shall accept --TLOHome and the compatibility alias --myTLO. TLOHome precedence shall use the shared rule: --myTLO, then --TLOHome, then the TLOHome environment variable. TLOHome must resolve to the same existing writable directory required by the other TLO mains.</w:t>
      </w:r>
    </w:p>
    <w:p>
      <w:pPr/>
      <w:r>
        <w:t>The research input shall be classified as one of exactly three forms: a date by itself; an artist name followed by a date; or, when neither of those forms applies, a venue string. Research date classification shall reuse the canonical TLO Inventory date parser rather than a separate Research-only grammar. Therefore every date representation accepted by Inventory shall also be accepted as a Research date, including numeric dates, textual-month dates, compact dates, slash dates, supported year ranges, same-month multi-day ranges such as 1970-04-12-13 and 12-13 April 1970, partial x-placeholder dates such as 2001-04-1x, 2004-0x-xx, 202x-xx-xx, and xxxx-xx-xx, plus a standalone four-digit 19xx/20xx year. Same-month multi-day ranges normalize to their first date. The input date shall be normalized using the same Inventory date rules before matching metadata. If one raw date representation has more than one valid canonical normalization, Research shall retain all canonical interpretations and match a metadata DATE equal to any of them. An empty input shall be rejected. After whitespace normalization, Research input must not exceed 2,048 characters; longer input must fail with a readable query error before date classification. Artist-plus-date classification must examine no more than the trailing 256 characters as a candidate date expression while retaining the existing longest-supported-suffix interpretation within that window.</w:t>
      </w:r>
    </w:p>
    <w:p>
      <w:pPr>
        <w:pStyle w:val="Heading2"/>
      </w:pPr>
      <w:r>
        <w:t>19.2 meta*.log Search</w:t>
      </w:r>
    </w:p>
    <w:p>
      <w:pPr/>
      <w:r>
        <w:t>tlo-research shall search every TLOHome/logs/meta*.log file in case-insensitive filename order and parse complete SHOW_NAME through END_SHOW_METADATA records. If an interrupted historical log begins a new SHOW_NAME record without the prior END_SHOW_METADATA marker, the new SHOW_NAME shall also act as a record boundary so later records remain searchable.</w:t>
      </w:r>
    </w:p>
    <w:p>
      <w:pPr/>
      <w:r>
        <w:t>For a date-only query, a metadata record matches when its DATE field equals any canonical normalization of the input, case-insensitively after whitespace normalization. For an artist+date query, the ARTIST field must equal the artist input and the DATE field must equal any canonical normalization of the trailing date expression. For a venue query, the normalized input shall be matched case-insensitively as a substring of the metadata VENUE field. Research shall not treat arbitrary occurrences in OBSERVATION, tag samples, show names, or unrelated fields as venue/date matches.</w:t>
      </w:r>
    </w:p>
    <w:p>
      <w:pPr>
        <w:pStyle w:val="Heading2"/>
      </w:pPr>
      <w:r>
        <w:t>19.3 comp*.log Correlation and Output</w:t>
      </w:r>
    </w:p>
    <w:p>
      <w:pPr/>
      <w:r>
        <w:t>For every matching metadata record, Research shall correlate related comp*.log path entries using the record's MAIN_DIR_PATH and MUSIC_DIRS_JSON directory values. A comp line is related when its normalized path is the directory itself or a descendant of one of those metadata paths. Blank lines, comments, and SEARCH_PATH header lines are not research results.</w:t>
      </w:r>
    </w:p>
    <w:p>
      <w:pPr/>
      <w:r>
        <w:t>The result shall begin with the original research string, interpreted query type, and total number of matching metadata records. Each structured match shall show the source meta log filename, the complete metadata record text, and a COMP LOG section containing every correlated comp entry with its comp log filename. If a matching metadata record has no correlated comp entry, the result shall say so explicitly. If no metadata records match, the result shall state that no matching metadata records were found. Research shall then perform a second exhaustive raw-line pass across every meta*.log and comp*.log file and shall not stop after the first matching record or first matching line. There shall be no per-file or per-query hit cap. A raw line is related when it contains the complete normalized research input, or when it contains the query evidence appropriate to the interpreted type: any canonical date candidate for a date query; the normalized artist plus any canonical date candidate on the same line for an artist+date query; or the normalized venue text for a venue query. The output shall include an ALL RELATED RAW LOG LINES section containing every such occurrence with the source log filename, one-based line number, and complete original log line. This raw-line section shall still be produced when there are zero structured metadata matches so historical/source evidence outside SHOW_NAME metadata blocks remains discoverable.</w:t>
      </w:r>
    </w:p>
    <w:p>
      <w:pPr/>
      <w:r>
        <w:t>The standalone tlo-research application shall write the complete formatted result to standard output and use standard error plus a nonzero status for startup/query errors. Ctrl-C shall stop the operation and return status 130.</w:t>
      </w:r>
    </w:p>
    <w:p>
      <w:pPr>
        <w:pStyle w:val="Heading2"/>
      </w:pPr>
      <w:r>
        <w:t>19.4 Main GUI Integration</w:t>
      </w:r>
    </w:p>
    <w:p>
      <w:pPr/>
      <w:r>
        <w:t>The Research button behavior defined in Section 14.4 shall call the same shared research implementation used by tlo-research.py. The GUI shall not maintain a separate search/parser implementation. This ensures that identical TLOHome content and input produce the same research result in the CLI and GUI.</w:t>
      </w:r>
    </w:p>
    <w:p>
      <w:pPr>
        <w:pStyle w:val="Heading2"/>
      </w:pPr>
      <w:r>
        <w:t>19.5 Distribution and Tests</w:t>
      </w:r>
    </w:p>
    <w:p>
      <w:pPr/>
      <w:r>
        <w:t>tlo-research shall be included as a console application in Windows onefile, Windows shared-onedir, generic Linux, and macOS distributions and in both complete and update release packages. The source publication shall include tlo-research.py and tlo_research_lib.py. The test suite shall cover query classification, field-aware metadata matching, comp correlation, exhaustive raw meta/comp line capture without early exit, raw-hit behavior when no structured metadata record matches, TLOHome precedence, CLI console output/error behavior, GUI Research button/input/results behavior, Research default-button keyboard activation, results Ctrl-A, results Search/Ctrl-F, forward/backward find direction and wraparound, and platform packaging contracts.</w:t>
      </w:r>
    </w:p>
    <w:p>
      <w:pPr>
        <w:pStyle w:val="Heading1"/>
      </w:pPr>
      <w:r>
        <w:t>20. Destructive Operations Safety</w:t>
      </w:r>
    </w:p>
    <w:p>
      <w:r>
        <w:t>False state-word matches inside ordinary album titles must not qualify as location evidence when unexplained trailing text remains. Example: A Spanner In The Works remains an album fallback rather than being interpreted as Indiana.</w:t>
      </w:r>
    </w:p>
    <w:p>
      <w:pPr/>
      <w:r>
        <w:t>For a date-bearing non-compliant show folder, descendant music reached only through recognized media/source/supplemental components must remain part of that dated logical show rather than becoming a second show solely because the descendant contains audio. Covered examples include EXTRAS/bonus/source folders, Source 2 EXTRAS, Right Channel (Soundboard Feed), Open Mic Lithium, art-docs/documentation/pictures, Concert Pictures/Video, Disc 1/Flac, and Disc end tracks. Promotion to the dated show root must fail closed when a descendant component contains its own complete performance date, when sampled FLAC Artist/AlbumArtist evidence materially conflicts with the dated root artist, or when another music-bearing descendant below that dated root is a non-supplemental branch such as an opening act. The existing guarded nested-wrapper rule retains priority when its stronger wrapper structure applies.</w:t>
      </w:r>
    </w:p>
    <w:p>
      <w:pPr/>
      <w:r>
        <w:t>REQ-CORR-000  Full Inventory defaults are Corrupt files = Delete corrupt files and Folder removal = 100% corrupt only (corrupt_files=delete, corrupt_folders=all, threshold=100). Standalone tlo-tag retains its separate default of Folder removal = Never. These are configured defaults, not defensive fallbacks. If a malformed/incomplete internal caller omits or supplies invalid corruption fields, mutation code must fail closed to Corrupt files = Keep and report, Folder removal = Never, and threshold = 100; an explicitly supplied valid threshold of 0 remains 0.</w:t>
      </w:r>
    </w:p>
    <w:p>
      <w:pPr/>
      <w:r>
        <w:t>REQ-CORR-001  Replace the former acceptable corruption % control and --acceptable-corruption-percent CLI option with independent corruption policies. The GUI must show a Corruption Handling group containing Corrupt files with Keep and report / Delete corrupt files choices; Folder removal with Never / 100% corrupt only / At threshold choices; and Folder corruption threshold as an integer 0-100. In the main GUI these three label/control pairs are displayed on one horizontal row beneath the checkbox block. When Corrupt files is Keep and report, Folder removal is effectively Never and both the Folder removal control and Folder corruption threshold control must be disabled/greyed because a report-only corruption policy authorizes no corruption-driven folder removal. When Corrupt files is Delete corrupt files, Folder removal becomes selectable again and the threshold entry is enabled only when At threshold is selected.</w:t>
      </w:r>
    </w:p>
    <w:p>
      <w:pPr/>
      <w:r>
        <w:t>REQ-CORR-002  Before any corruption-driven or later rename/tag/copy-delete/SHN mutation, inspect the directly inventoried logical-show audio, including FLAC and MP3 and classify each path as healthy under the selected validation mode, proven corrupt under that mode, or unverifiable. A successfully parsed header alone does not establish that the entire audio stream decodes; optional Deep Audio Check performs a complete decode (REQ-CORR-008/009). Compute all corruption counts and percentages from the original pre-removal snapshot. Folder decisions are evaluated before individual-file decisions. Folder removal Never authorizes no corruption-driven folder removal. Folder removal 100% corrupt only authorizes removal when all audio in the evaluated folder population is proven corrupt. Folder removal At threshold authorizes removal when the proven-corruption percentage is greater than or equal to Folder corruption threshold; equality qualifies. The logical-show MAIN_DIR_PATH uses the aggregate logical-show audio population. When the logical show is retained, each directly inventoried physical music directory is evaluated from its own direct-audio population using the same selected folder policy.</w:t>
      </w:r>
    </w:p>
    <w:p>
      <w:pPr/>
      <w:r>
        <w:t>REQ-CORR-003  When the logical-show folder is authorized for removal, move MAIN_DIR_PATH to the operating-system Trash/Recycle Bin before considering individual-file handling and omit it from inventory only after that move succeeds. When the logical show remains, qualifying physical music directories may be moved to Trash/Recycle Bin under the selected folder policy. To protect healthy nested material, do not trash a candidate directory when it is an ancestor of another inventoried music directory. Files inside a successfully trashed folder are not separately processed. There is never a permanent-delete fallback.</w:t>
      </w:r>
    </w:p>
    <w:p>
      <w:pPr/>
      <w:r>
        <w:t>REQ-CORR-004  Apply the independent Corrupt files policy only to proven-corrupt files that remain after successful folder-level actions. Keep and report retains those files. Delete corrupt files attempts to move remaining proven-corrupt FLAC and MP3 files to operating-system Trash/Recycle Bin without a permanent-delete fallback. A failed whole-show, qualifying music-directory, or individual-file Trash operation must terminate further corruption-driven removal attempts for that show, record an UNVERIFIABLE failure, and suppress subsequent renaming, tagging, copy-delete, and SHN mutation. A failed folder move must never retry as individual-file deletion, regardless of the Corrupt files selection.</w:t>
      </w:r>
    </w:p>
    <w:p>
      <w:pPr/>
      <w:r>
        <w:t>REQ-TRASH-001  After successful folder/file Trash operations, remove affected paths from in-memory group and ShowMetadata records so later processing cannot access paths that no longer exist. If a whole-show, music-directory, or individual-file Trash operation fails, log the failed operation, mark the show UNVERIFIABLE, retain the failed target, and stop further Trash actions for that show. Previous successfully trashed paths must still be pruned. There is no permanent-delete fallback.</w:t>
      </w:r>
    </w:p>
    <w:p>
      <w:pPr/>
      <w:r>
        <w:t>REQ-CORR-005  Full Inventory Dry Run must not write or restore a probe tag, rename, copy, move, Trash, or delete any files or folders regardless of the selected Corruption Handling policies. A user may enable the read-only Deep Audio Check during Dry Run. The GUI defaults for real runs must remain unchanged (REQ-CORR-000). It must report the selected file and folder policies and whether TLO would Trash the whole logical-show folder, one or more qualifying music folders, Trash individual corrupt files, or keep/report individual corrupt files. Percentage-mode output includes corrupt/total counts and the configured threshold. Regression coverage must include every file-policy/folder-policy combination, threshold equality, all-corrupt and partially corrupt folder cases, no corruption, and folder-Trash failure behavior.</w:t>
      </w:r>
    </w:p>
    <w:p>
      <w:pPr/>
      <w:r>
        <w:t>REQ-CORR-006  Corruption evaluation must be separated into a directly testable pre-mutation assessment and a mutation/application stage. The assessment records the original audio snapshot, positively corrupt paths, unverifiable details, aggregate percentage, Corrupt files policy, Folder removal policy, folder threshold, authorized top-level action, and qualifying direct music-directory candidates. The assessment stage performs no Trash/Recycle action. The orchestrator consumes one structured outcome rather than reimplementing the destructive decision inline. The original audio snapshot and percentage denominator include MP3 and FLAC under the same rules.</w:t>
      </w:r>
    </w:p>
    <w:p>
      <w:pPr/>
      <w:r>
        <w:t>REQ-CORR-007  Any unexpected exception while producing or applying a corruption assessment fails closed as UNVERIFIABLE for that logical show. The failure is logged, no corruption-driven Trash action is authorized, and later rename/tag/copy-delete/SHN mutation remains suppressed for that group. Missing, locked, unreadable, disconnected, resource-failed, or validator-infrastructure-failed paths are unverifiable rather than corrupt. There is no permanent-delete fallback.</w:t>
      </w:r>
    </w:p>
    <w:p>
      <w:r>
        <w:t>REQ-CORR-008  Corruption classification always performs the normal audio header/metadata parse. When an actual tagging mode is active, every taggable audio path must additionally prove that its metadata container can accept a temporary TLO-private test tag, persist that value, and then restore the exact prior value (or prior absence) before processing continues. The restored value must be reopened and verified. A tag-format/write failure with no filesystem/resource cause is treated as proven corruption. Permission, I/O, memory/resource, validator-infrastructure, or tag-restoration/verification failure is UNVERIFIABLE and suppresses corruption-driven and later mutation for that logical show. Full Inventory Dry Run must never perform the temporary tag write. When Deep Audio Check is off, non-tagging inventory remains header/metadata validation only; a header failure counts as corruption, while a readable header is not a guarantee of complete-stream integrity. An actual tagging mode additionally tests tag-write/restore; Dry Run does not write tags.</w:t>
      </w:r>
    </w:p>
    <w:p>
      <w:pPr/>
      <w:r>
        <w:t>REQ-CORR-009  Deep Audio Check is a default-off main-window checkbox displayed directly beneath Proper Grammar and is also available as --deep-audio-check to inventory and standalone Tag command-line workflows. When selected, corruption classification must decode the complete audio stream of every directly inventoried audio path with TLO's application-bundled ffmpeg after normal header/metadata validation and, during actual tagging, the reversible tag-write probe. The invocation must be noninteractive, restricted to local-file input, and map the first audio stream. A confirmed decoder failure is corruption; missing ffmpeg, cancellation, timeout, permission/access/I/O/resource errors, unexpected tool output, or validator-infrastructure failure is UNVERIFIABLE and suppresses corruption-driven and subsequent mutation. For FLAC with a known, nonzero STREAMINFO total_samples, the complete decoded PCM sample count must exactly match that declared count as well as a successful decoder exit. A clean FFmpeg return code alone is insufficient proof of FLAC completeness: mismatch is corruption. If the FLAC declared count is zero/unknown, or a trustworthy decoded count cannot be obtained, the result is UNVERIFIABLE, never automatically corrupt. Use a bounded, local scratch record of PCM frame durations without writing audio to the collection; interruption and source-file changes during validation must fail closed. For other audio codecs, full decoding still checks readable frames, but a successful decoder exit alone does not guarantee the original recording was complete if the container provides no trustworthy declared total. Deep Audio Check must appear in Review Operation and runSettings.log, remain read-only when not tagging, and remain off by default so Artist In Album Tag is the only checkbox selected by default.</w:t>
      </w:r>
    </w:p>
    <w:p>
      <w:pPr/>
      <w:r>
        <w:t>REQ-TRASH-002  The operating-system Trash/Recycle implementation remains the only corruption-removal primitive. Whole-show, qualifying music-directory, and individual-file removals must be applied only from a completed structured assessment; successful removals must be reflected in the carried group/ShowMetadata paths before downstream work resumes. Folder policy is evaluated before file policy from the same original snapshot. On native Windows the implementation must conservatively establish recyclability before calling IFileOperation: require a fixed local NTFS volume, a successful SHQueryRecycleBinW query, confirmed per-volume Recycle Bin enablement and capacity, and no applicable Explorer no-recycle policy. Disconnected/removable/network/non-NTFS volumes and unavailable or unconfirmable recycling settings must be retained and reported without a destructive call. The Shell must be requested to recycle only, with no automatic permanent-delete confirmation. This preflight cannot replace native Windows regression testing or eliminate external changes between preflight and execution.</w:t>
      </w:r>
    </w:p>
    <w:p>
      <w:pPr/>
      <w:r>
        <w:t>REQ-SAFETY-001  Destructive mutation, repair, copy, cleanup, update-state persistence, and reversal code must catch the narrowest expected filesystem/domain exception classes practical at the operation boundary. An intentionally suppressed cleanup/recovery exception in these paths must be recorded through the low-noise suppressed-exception diagnostic logger. Unexpected programming exceptions must not be silently converted into destructive success.</w:t>
      </w:r>
      <w:r>
        <w:t xml:space="preserve"> If an automatic rollback after a destructive mutation fails or cannot safely complete, the user-facing failure must state that rollback was incomplete and identify the current path or state of affected material where practical.</w:t>
      </w:r>
    </w:p>
    <w:p>
      <w:pPr/>
      <w:r>
        <w:t>REQ-SAFETY-002  Each destructive safety rule changed during Builds 525-528 must have direct behavioral or fault-injection regression coverage. The minimum closure matrix includes FLAC stage/backup/install rollback, Copy Request deletion confinement, unverifiable-volume POSIX cleanup, reversal conflict/cross-filesystem rollback, inventory/Copy Request ownership locking, SHN target-appearance refusal, and atomic persistence failure that preserves prior settings/log bytes.</w:t>
      </w:r>
    </w:p>
    <w:p>
      <w:pPr>
        <w:pStyle w:val="Heading2"/>
      </w:pPr>
      <w:r>
        <w:t>Phase 1: Fail-closed FFmpeg license and configuration verification</w:t>
      </w:r>
    </w:p>
    <w:p>
      <w:pPr>
        <w:pStyle w:val="Heading2"/>
      </w:pPr>
      <w:r>
        <w:t>Phase 2: Pinned LGPL audio-only FFmpeg source build for Linux</w:t>
      </w:r>
    </w:p>
    <w:p>
      <w:r>
        <w:t>For native UCRT64 compilation, use the verified action-installed Bash, MSYS2 GNU Make and GCC from the same root. Run the official FFmpeg 9.0.2 configure in the extracted source directory; validate config.mak/config.log and EXESUF=.exe, invoke the upstream Make all target, and require a produced ffmpeg.exe before runtime LGPL/audio component verification, Authenticode timestamp signing and malware scanning. Linux and macOS continue out-of-tree builds with ffmpeg output.</w:t>
      </w:r>
    </w:p>
    <w:p>
      <w:pPr>
        <w:pStyle w:val="Heading2"/>
      </w:pPr>
      <w:r>
        <w:t>Phase 3: Audio-only FFmpeg source preparation for native Windows</w:t>
      </w:r>
    </w:p>
    <w:p>
      <w:pPr>
        <w:pStyle w:val="Heading2"/>
      </w:pPr>
      <w:r>
        <w:t>Phase 4: Audio-only FFmpeg source preparation for macOS</w:t>
      </w:r>
    </w:p>
    <w:p>
      <w:pPr>
        <w:pStyle w:val="Heading2"/>
      </w:pPr>
      <w:r>
        <w:t>Phase 5: FFmpeg source, license and native release packaging integration</w:t>
      </w:r>
    </w:p>
    <w:p>
      <w:r>
        <w:t>FFmpeg redistribution: TLO native packages must not include binaries configured with --enable-nonfree or --enable-gpl. Audio-only builds are sourced from a SHA-256 pinned FFmpeg 9.0.2 upstream source archive. Source, LGPL terms, configure recipe and platform binary provenance must accompany all released native packages. Public release is blocked until native builds, codec regressions and legal compliance have been verified.</w:t>
      </w:r>
    </w:p>
    <w:p>
      <w:pPr>
        <w:pStyle w:val="Heading1"/>
      </w:pPr>
      <w:r>
        <w:t>21. Revision Index (Build 398-584)</w:t>
      </w:r>
    </w:p>
    <w:p>
      <w:r>
        <w:t>Build 584: FFmpeg LGPL source/release integration.</w:t>
      </w:r>
    </w:p>
    <w:p>
      <w:r>
        <w:t>Build 583: Native Windows FFmpeg make all and ffmpeg.exe output verification.</w:t>
      </w:r>
      <w:r/>
    </w:p>
    <w:p>
      <w:r/>
      <w:r>
        <w:t>Build 582: Bind hosted FFmpeg to installed MSYS2 toolchain.</w:t>
      </w:r>
    </w:p>
    <w:p>
      <w:pPr/>
      <w:r>
        <w:t>Build 581: Trusted MSYS2 GNU Make; CI evidence.</w:t>
      </w:r>
    </w:p>
    <w:p>
      <w:pPr/>
      <w:r>
        <w:t>Build 579: MSYS2 FFmpeg Make guards.</w:t>
      </w:r>
    </w:p>
    <w:p>
      <w:pPr/>
      <w:r>
        <w:t>Build 578: Shorten, MSYS2 and CI fixes.</w:t>
      </w:r>
    </w:p>
    <w:p>
      <w:pPr/>
      <w:r>
        <w:t>Build 577: FFmpeg configure/path fixes.</w:t>
      </w:r>
    </w:p>
    <w:p>
      <w:r>
        <w:t>Build 576: Ruff F401 test-import fix.</w:t>
      </w:r>
    </w:p>
    <w:p>
      <w:pPr/>
      <w:r>
        <w:t>Build 575: LGPL audio-only FFmpeg source remediation phase 5.</w:t>
      </w:r>
    </w:p>
    <w:p>
      <w:pPr/>
      <w:r>
        <w:t>Build 570: CI-generated signing-security contract (equivalent secure resolvers).</w:t>
      </w:r>
    </w:p>
    <w:p>
      <w:pPr/>
      <w:r>
        <w:t>Build 569: Remove unused test import (Ruff F401); no production changes.</w:t>
      </w:r>
    </w:p>
    <w:p>
      <w:pPr/>
      <w:r>
        <w:t>Build 568: Stabilize CI volume-label tests; retain cross-volume safety.</w:t>
      </w:r>
    </w:p>
    <w:p>
      <w:pPr/>
      <w:r>
        <w:t>Build 567: Remove 23 Ruff F841/F401 unused bindings and imports from tests; no production changes.</w:t>
      </w:r>
    </w:p>
    <w:p>
      <w:pPr/>
      <w:r>
        <w:t>Build 566: Deep Audio Check verifies decoded FLAC samples against declared STREAMINFO totals; unknown totals fail closed -&gt; REQ-CORR-009.</w:t>
      </w:r>
    </w:p>
    <w:p>
      <w:pPr/>
      <w:r>
        <w:t>Build 565: Centralize version reporting; consolidate tests and documentation; remove orphaned graphics.</w:t>
      </w:r>
    </w:p>
    <w:p>
      <w:pPr>
        <w:pStyle w:val="Heading1"/>
      </w:pPr>
      <w:r>
        <w:t>Build 564: Remove dead code and consolidate updater safety paths -&gt; CHANGES.</w:t>
      </w:r>
    </w:p>
    <w:p>
      <w:pPr>
        <w:pStyle w:val="Heading1"/>
      </w:pPr>
      <w:r>
        <w:t>Build 563: Verify transfer hash and stage Copy/Delete Original -&gt; REQ-XFER-003.</w:t>
      </w:r>
    </w:p>
    <w:p>
      <w:pPr>
        <w:pStyle w:val="Heading1"/>
      </w:pPr>
      <w:r>
        <w:t>Build 562: Verified Tag Copy staging and atomic non-overwriting publication -&gt; REQ-XFER-002.</w:t>
      </w:r>
    </w:p>
    <w:p>
      <w:pPr>
        <w:pStyle w:val="Heading1"/>
      </w:pPr>
      <w:r>
        <w:t>Build 561: Trusted native Windows PowerShell resolution for physical-drive scheduling -&gt; REQ-PHYSICAL-DRIVE-001.</w:t>
      </w:r>
    </w:p>
    <w:p>
      <w:pPr>
        <w:pStyle w:val="Heading1"/>
      </w:pPr>
      <w:r>
        <w:t>Build 560: Fail-closed Windows Recycle Bin preflight and per-show Trash failure stop -&gt; REQ-CORR-004/007, REQ-TRASH-001/002.</w:t>
      </w:r>
    </w:p>
    <w:p>
      <w:pPr>
        <w:pStyle w:val="Heading1"/>
      </w:pPr>
      <w:r>
        <w:t>Build 559: Windows cleanup script volume-label guard -&gt; REQ-ADDSHOW-DELETE-001/002.</w:t>
      </w:r>
    </w:p>
    <w:p>
      <w:pPr>
        <w:pStyle w:val="Heading1"/>
      </w:pPr>
      <w:r>
        <w:t>Build 558: Dry Run/corruption and transfer wording -&gt; §§2, 14, 20.</w:t>
      </w:r>
    </w:p>
    <w:p>
      <w:pPr>
        <w:pStyle w:val="Heading1"/>
      </w:pPr>
      <w:r>
        <w:t>Build 557: Deep Audio Check -&gt; REQ-CORR-009.</w:t>
      </w:r>
    </w:p>
    <CT_P>
      <w:pPr/>
      <w:r>
        <w:t>Build 539: immutable GitHub Action SHA pinning.</w:t>
      </w:r>
    </CT_P>
    <CT_P>
      <w:pPr/>
      <w:r>
        <w:t>GitHub Build Process v107 coordinates this application build and requires every external workflow action reference to use a reviewed full 40-character commit SHA; application runtime behavior is unchanged. Signing-tool/bootstrap hardening remains separately planned.</w:t>
      </w:r>
    </CT_P>
    <w:p>
      <w:r>
        <w:t>Build 556: reversible tagging-mode corruption validation -&gt; §20, REQ-CORR-008.</w:t>
      </w:r>
    </w:p>
    <w:p>
      <w:pPr/>
      <w:r>
        <w:t>Build 555: shell-safe Path(s) directives and CLI help cleanup -&gt; §§2.1-2.2, 13.</w:t>
      </w:r>
    </w:p>
    <w:p>
      <w:pPr/>
      <w:r>
        <w:t>Build 554: release-gate restoration -&gt; §17.3, pinned Ruff cleanliness and verification-record attestation labeling.</w:t>
      </w:r>
    </w:p>
    <w:p>
      <w:pPr/>
      <w:r>
        <w:t>Build 553: low-risk maintenance closure -&gt; §17.3, build/test helper CLI and dependency-lock maintenance.</w:t>
      </w:r>
    </w:p>
    <w:p>
      <w:pPr/>
      <w:r>
        <w:t>Build 552: parser/GUI robustness -&gt; §17.3, §19.1, App. E4.</w:t>
      </w:r>
    </w:p>
    <w:p>
      <w:pPr/>
      <w:r>
        <w:t>Build 551: Windows path/device hardening -&gt; §2.12, §14.3.</w:t>
      </w:r>
    </w:p>
    <w:p>
      <w:pPr/>
      <w:r>
        <w:t>Build 550: Norton scanner receipt integrity -&gt; §18.8.</w:t>
      </w:r>
    </w:p>
    <w:p>
      <w:pPr/>
      <w:r>
        <w:t>Build 549: robustness closure -&gt; §16.2, §18.4, App. H/I.</w:t>
      </w:r>
    </w:p>
    <w:p>
      <w:pPr/>
      <w:r>
        <w:t>Build 548: docs/spec cleanup -&gt; §§13, 17.5, 21, Apps. B/E/I.</w:t>
      </w:r>
    </w:p>
    <w:p>
      <w:pPr/>
      <w:r>
        <w:t>Build 547: M-03-&gt;§14.6.</w:t>
      </w:r>
    </w:p>
    <w:p>
      <w:pPr/>
      <w:r>
        <w:t>Build 546: M-04/L-13/L-14 -&gt; §18.8.</w:t>
      </w:r>
    </w:p>
    <w:p>
      <w:pPr/>
      <w:r>
        <w:t>Build 545: P2-L3/L-06 -&gt; §3, §14.6</w:t>
      </w:r>
    </w:p>
    <w:p>
      <w:pPr/>
      <w:r>
        <w:t>Build 544: P2-M1 -&gt; §16.4</w:t>
      </w:r>
    </w:p>
    <w:p>
      <w:pPr/>
      <w:r>
        <w:t>Build 543: M-01 -&gt; §16.1.</w:t>
      </w:r>
    </w:p>
    <w:p>
      <w:pPr/>
      <w:r>
        <w:t>Build 542: H-02/M-02.</w:t>
      </w:r>
    </w:p>
    <w:p>
      <w:pPr/>
      <w:r>
        <w:t>Build 541: H-01 -&gt; §17.</w:t>
      </w:r>
    </w:p>
    <w:p>
      <w:pPr/>
      <w:r>
        <w:t>Build 540: Process v108.</w:t>
      </w:r>
    </w:p>
    <w:p>
      <w:pPr/>
      <w:r>
        <w:t>Build 539: GitHub Build Process v107 Action SHA pins.</w:t>
      </w:r>
    </w:p>
    <w:p>
      <w:pPr/>
      <w:r>
        <w:t>Build 538: release gate.</w:t>
      </w:r>
    </w:p>
    <w:p>
      <w:r>
        <w:t>Build 537: portability.</w:t>
      </w:r>
    </w:p>
    <w:p>
      <w:pPr/>
      <w:r>
        <w:t>Build 536: update-package safety -&gt; §2.12.</w:t>
      </w:r>
    </w:p>
    <w:p>
      <w:pPr/>
      <w:r>
        <w:t>Build 535: pinned build/FFmpeg.</w:t>
      </w:r>
    </w:p>
    <w:p>
      <w:pPr/>
      <w:r>
        <w:t>Build 533: cleanup-label quoting -&gt; §14.6.</w:t>
      </w:r>
    </w:p>
    <w:p>
      <w:pPr/>
      <w:r>
        <w:t>Build 532: verification integrity.</w:t>
      </w:r>
    </w:p>
    <w:p>
      <w:pPr/>
      <w:r>
        <w:t>Build 531: duplicate-trash classification.</w:t>
      </w:r>
    </w:p>
    <w:p>
      <w:pPr/>
      <w:r>
        <w:t>Build 530: IV-1 verification reporting.</w:t>
      </w:r>
    </w:p>
    <w:p>
      <w:pPr/>
      <w:r>
        <w:t>Build 529: docs/safety/exception hardening.</w:t>
      </w:r>
    </w:p>
    <w:p>
      <w:pPr/>
      <w:r>
        <w:t>Build 528: hardening -&gt; §§5,13,14.8,16.1,17.</w:t>
      </w:r>
    </w:p>
    <w:p>
      <w:pPr/>
      <w:r>
        <w:t>Build 527: priority/concurrency/locking remediation -&gt; §§2.10, 12.2, 17; Process v101 unchanged.</w:t>
      </w:r>
    </w:p>
    <w:p>
      <w:pPr/>
      <w:r>
        <w:t>Build 526: destructive-path/reversal safety remediation -&gt; §§14, 14.6, 14.11, 20; Process v101 unchanged.</w:t>
      </w:r>
    </w:p>
    <w:p>
      <w:pPr/>
      <w:r>
        <w:t>Build 525: FLAC repair/verification safety fixes; Process v101 unchanged.</w:t>
      </w:r>
    </w:p>
    <w:p>
      <w:pPr/>
      <w:r>
        <w:t>Build 524: closure-audit remediation for remaining outside-CWD test dependencies; Process v101 version-contract correction -&gt; tests/release verification.</w:t>
      </w:r>
    </w:p>
    <w:p>
      <w:pPr/>
      <w:r>
        <w:t>Build 523: documentation/history/metadata consolidation -&gt; §§3,7-8,21; runtime/packaging unchanged.</w:t>
      </w:r>
    </w:p>
    <w:p>
      <w:r>
        <w:t>Build 522: packaging/build-system remediation -&gt; platform layouts, macOS app/icon validation, version derivation, and Ruff release lint contract.</w:t>
      </w:r>
    </w:p>
    <w:p>
      <w:r>
        <w:t>Build 521: behavior/security/test remediation -&gt; §§13-17; history: old-change-logs.zip.</w:t>
      </w:r>
    </w:p>
    <w:p>
      <w:r>
        <w:t>Build 520: Search reuses the inventory setlist filename creator, preserving partial dates including 1973-12-xx.</w:t>
      </w:r>
    </w:p>
    <w:p>
      <w:r>
        <w:t>Build 519: Renamed the Main GUI executable to tlo-main and Search to tlo-search across packaging, entry points, help, and release documentation (full history in CHANGES and old-change-logs.zip).</w:t>
      </w:r>
    </w:p>
    <w:p>
      <w:r>
        <w:t>Build 518: Replaced TLO Main icon artwork, preserving historical icon paths for packaging compatibility.</w:t>
      </w:r>
    </w:p>
    <w:p>
      <w:r>
        <w:t>Build 517: Source-publication hygiene: the source root ships exactly one current requirements DOCX and rejects temporary/scratch requirements documents before release publication.</w:t>
      </w:r>
    </w:p>
    <w:p>
      <w:r>
        <w:t>Build 516: compares the latest GitHub release build number with the installed build before requiring independently signed metadata. Older/equal historical releases are reported as not newer; every genuinely newer release still requires valid locally signed metadata before acceptance.</w:t>
      </w:r>
    </w:p>
    <w:p>
      <w:r>
        <w:t>Build 515: aligned tlo-search setlist filename generation with the inventory/postprocess normalizer so non-date punctuation such as the dash in (pre-fm) is stripped while recognized date-token hyphens remain.</w:t>
      </w:r>
    </w:p>
    <w:p>
      <w:r>
        <w:t>Build 514: restores the source-bundle/process-separation contract text and carried-forward historical change-log material omitted by Build 513 packaging. No runtime behavior changes from Build 513; independently signed update metadata is carried forward unchanged.</w:t>
      </w:r>
    </w:p>
    <w:p>
      <w:r>
        <w:t>Build 513: added independently signed update metadata. The updater requires TLO_UPDATE_METADATA.json and TLO_UPDATE_METADATA.sig, verifies the signature against a build-injected pinned RSA-3072 public key, then authorizes a selected update ZIP only when its signed filename, size, SHA-256, build, package kind, and platform/layout match. Missing, malformed, mismatched, or invalid signed metadata fails closed.</w:t>
      </w:r>
    </w:p>
    <w:p>
      <w:r>
        <w:t>Build 512: Main GUI window title/buttons, worker settings, Copy Request wildcard handling and consolidated CLI label updates; see CHANGES.</w:t>
      </w:r>
    </w:p>
    <w:p>
      <w:r>
        <w:t>Build 511: changed New Copy Request input from Request File to Path(s); added main-GUI semicolon/optional-quote and repeated-drop append behavior; allowed mixed plain request text, direct paths/volumes, and .txt list files; and persisted the expanded .txt contents so future passes do not depend on those source files.</w:t>
      </w:r>
    </w:p>
    <w:p>
      <w:r>
        <w:t>Build 510: corrected the Ruff F541 lint error in tests/behavior/test_build465_cross_platform_collection_recovery.py by removing an unnecessary f-string prefix from a raw Windows path literal. No application/runtime behavior changed from Build 509.</w:t>
      </w:r>
    </w:p>
    <w:p>
      <w:r>
        <w:t>Build 509: Copy Request PID-reuse protection, stale lock handling, error diagnostics and update security improvements; see CHANGES.</w:t>
      </w:r>
    </w:p>
    <w:p>
      <w:r>
        <w:t>Build 508: removed the unused legacy TaggerWindow GUI class and its obsolete active-window/state/layout scaffolding; removed tests that existed only to inspect that dead class; rewired retained GUI Tag regression coverage to the active main-window App._start_tagging_from_main path. Standalone tlo-tag remains unchanged.</w:t>
      </w:r>
    </w:p>
    <w:p>
      <w:r>
        <w:t>Build 507: hardened Add Shows delete targets and per-session volume-guarded cleanup scripts; made Copy Requests transactionally recoverable, cancellable, and lock-protected; replaced RTF regex stripping with group-aware parsing; prevented malformed setlist.fm keys from crashing; unified Phase 1 OS/TLO temp pruning; and added ZIP member/path/decompression safety validation.</w:t>
      </w:r>
    </w:p>
    <w:p>
      <w:r>
        <w:t>Build 506: v505 review remediation for Delete Extra Tags config startup, non-destructive Copy Request reservation/temp-finalize recovery, volume-root path exclusions, mixed/truncated/UTF-16 decoding, RTF character escapes, process-first setlist.fm environment precedence, visible upgrade-gate reasons, and verification hardening -&gt; §§13, 14, 14.6, 16.1, 17.4, and current release artifacts.</w:t>
      </w:r>
    </w:p>
    <w:p>
      <w:r>
        <w:t>Build 505: targeted review remediation for shared setlist decoding, fail-closed tree verification, Copy Request overlap/volume safety, exact upgrade-key gating, documentation, and packaging -&gt; §§13, 14.6, 16.1, 17.4, and current release artifacts.</w:t>
      </w:r>
    </w:p>
    <w:p>
      <w:r>
        <w:t>Build 504: Delete Extra Tags is cleared when its last tag mode turns off; setlist.fm Upgrade environment detection accepts both upgrade variable spellings and reads persisted Windows User/System environment values when the process snapshot is stale -&gt; §14.10, §14, §16.1.</w:t>
      </w:r>
    </w:p>
    <w:p>
      <w:r>
        <w:t>Build 503: direct path/volume Copy Request items with persistent contained-Show de-confliction -&gt; §14.6.</w:t>
      </w:r>
    </w:p>
    <w:p>
      <w:r>
        <w:t>Build 502: requirements structure and succinctness consolidation -&gt; current requirements throughout §§1-20; detailed prior build narratives remain archived in old-change-logs.zip.</w:t>
      </w:r>
    </w:p>
    <w:p>
      <w:r>
        <w:t>Build 501: Review remediation and data-integrity hardening -&gt; §§2.11, 3, 6.1, 7.11, 8.7, 11-12, 13-14, 15, 17.3, 20.6 and Appendices A/B as applicable.</w:t>
      </w:r>
    </w:p>
    <w:p>
      <w:r>
        <w:t>Build 500: Proper Grammar terminology -&gt; §§8.7, 13, 13.1, and 14.</w:t>
      </w:r>
    </w:p>
    <w:p>
      <w:r>
        <w:t>Build 499: Linux main-GUI startup mapping stabilization -&gt; §14.</w:t>
      </w:r>
    </w:p>
    <w:p>
      <w:r>
        <w:t>Build 498: Proper Grammar artist naming -&gt; §8.7.</w:t>
      </w:r>
    </w:p>
    <w:p>
      <w:r>
        <w:t>Build 497: Delete Extra Tags GUI availability -&gt; §14.10.</w:t>
      </w:r>
    </w:p>
    <w:p>
      <w:r>
        <w:t>Build 496: Empty current-run metadata must not reread reused historical logs -&gt; §11.</w:t>
      </w:r>
    </w:p>
    <w:p>
      <w:r>
        <w:t>Build 495: Add New Shows Search Path and explicit tlo-tag search folder -&gt; §§13.1 and 14.</w:t>
      </w:r>
    </w:p>
    <w:p>
      <w:r>
        <w:t>Build 494: Thorough Setlist Matching GUI capitalization -&gt; §14.</w:t>
      </w:r>
    </w:p>
    <w:p>
      <w:r>
        <w:t>Build 493: Guarded lowercase region abbreviations in lowercase paths -&gt; §7.11.</w:t>
      </w:r>
    </w:p>
    <w:p>
      <w:r>
        <w:t>Build 492: Common-word state/province abbreviation guards -&gt; §7.11.</w:t>
      </w:r>
    </w:p>
    <w:p>
      <w:r>
        <w:t>Build 491: Canadian location anchors, marker info-gen files, and Backup Alert text -&gt; §§7.11, 11, and 14.</w:t>
      </w:r>
    </w:p>
    <w:p>
      <w:r>
        <w:t>Build 490: Guarded non-compliant pre-date venue/location recovery -&gt; §§7.11 and 7.20.</w:t>
      </w:r>
    </w:p>
    <w:p>
      <w:r>
        <w:t>Build 489: About support contact email -&gt; §14.</w:t>
      </w:r>
    </w:p>
    <w:p>
      <w:r>
        <w:t>Build 488: Redundancy Groups Close label -&gt; §14.7.</w:t>
      </w:r>
    </w:p>
    <w:p>
      <w:r>
        <w:t>Build 487: ordered redundancy groups for equivalent source volumes -&gt; §14.7.</w:t>
      </w:r>
    </w:p>
    <w:p>
      <w:r>
        <w:t>Build 486: Copy Requests moved to hamburger menu -&gt; §14.6.</w:t>
      </w:r>
    </w:p>
    <w:p>
      <w:r>
        <w:t>Build 485: persistent multi-pass Copy Requests -&gt; §14.6.</w:t>
      </w:r>
    </w:p>
    <w:p>
      <w:r>
        <w:t>Build 484: Checkbox-label capitalization alignment: the rendered Main GUI, Review Operation text, validation messages, manual, and requirements use the same canonical option labels.</w:t>
      </w:r>
    </w:p>
    <w:p>
      <w:r>
        <w:t>Build 483: explicit setlist.fm Upgrade environment gate. -&gt; §9, §17; history: old-change-logs.zip.</w:t>
      </w:r>
    </w:p>
    <w:p>
      <w:r>
        <w:t>Build 482: cross-platform CI regression-fixture correction. -&gt; §17; history: old-change-logs.zip.</w:t>
      </w:r>
    </w:p>
    <w:p>
      <w:r>
        <w:t>Build 481: security hardening. -&gt; §§16, 20; history: old-change-logs.zip.</w:t>
      </w:r>
    </w:p>
    <w:p>
      <w:r>
        <w:t>Build 480: requirements consolidation and MP3 inventory metadata evidence. -&gt; §§6–7, §17; history: old-change-logs.zip.</w:t>
      </w:r>
    </w:p>
    <w:p>
      <w:r>
        <w:t>Build 479: Stabilization and data-integrity corrections. -&gt; §§1–20; history: old-change-logs.zip.</w:t>
      </w:r>
    </w:p>
    <w:p>
      <w:r>
        <w:t>Build 478: Manual Updates tag refresh and input/capitalization fixes. -&gt; §§2, 14, §5, §§16, 20; history: old-change-logs.zip.</w:t>
      </w:r>
    </w:p>
    <w:p>
      <w:r>
        <w:t>Build 477: Manual Updates quoting and rename-case correction: path/name inputs treat ordinary apostrophes as literal text, New Name drag/drop is independent of Original for single-folder updates, and authoritative case-only naming corrections are accepted without substantive metadata replacement.</w:t>
      </w:r>
    </w:p>
    <w:p>
      <w:r>
        <w:t>Build 476: restore semicolon Path(s) separators. -&gt; §§2, 14; history: old-change-logs.zip.</w:t>
      </w:r>
    </w:p>
    <w:p>
      <w:r>
        <w:t>Build 475: v1.7 Manual Updates unidentified-show recovery. -&gt; §§2, 14, §5, §10, §§16, 20; history: old-change-logs.zip.</w:t>
      </w:r>
    </w:p>
    <w:p>
      <w:r>
        <w:t>Build 474: Path(s) and Manual Updates. -&gt; §§2, 14, §5, §§16, 20; history: old-change-logs.zip.</w:t>
      </w:r>
    </w:p>
    <w:p>
      <w:r>
        <w:t>Build 473: unknown-date descriptor fallback adds separate DESCRIPTOR/DESCRIPTOR_SOURCE fields from conservative non-geographic evidence while leaving Venue and Location blank. -&gt; §§1–20; history: old-change-logs.zip.</w:t>
      </w:r>
    </w:p>
    <w:p>
      <w:r>
        <w:t>Build 472: Auto update uses discovery first and asks Yes or Skip before downloading; Complete distributions include a blank header-only bootlist.csv while update ZIPs omit it. -&gt; §5, §§16, 20, §17; history: old-change-logs.zip.</w:t>
      </w:r>
    </w:p>
    <w:p>
      <w:r>
        <w:t>Build 471: Rename Compliantly compares exact path-name spelling and capitalization and safely applies case-only renames on case-insensitive filesystems. -&gt; §8; history: old-change-logs.zip.</w:t>
      </w:r>
    </w:p>
    <w:p>
      <w:r>
        <w:t>Build 470: unidentifiedShows.txt housekeeping messages, including zero-unidentified completion, are informational and no longer counted as GUI warnings. -&gt; §10; history: old-change-logs.zip.</w:t>
      </w:r>
    </w:p>
    <w:p>
      <w:r>
        <w:t>Build 469: Main-window Tag and control cleanup: GUI Tag moved onto the Main GUI using Path(s) and current options; corruption-control dependencies, setlist.fm credential gating, Max Workers ceiling behavior, issue scrolling, and informational parser-selection reporting were aligned with the active GUI.</w:t>
      </w:r>
    </w:p>
    <w:p>
      <w:r>
        <w:t>Build 468: historical GUI Tag cancellation cleanup restores main-window action states after the tag worker exits. -&gt; §§2, 14, §15; history: old-change-logs.zip.</w:t>
      </w:r>
    </w:p>
    <w:p>
      <w:r>
        <w:t>Build 467: MP3 becomes a first-class taggable format and corruption-policy peer of FLAC. -&gt; §17; history: old-change-logs.zip.</w:t>
      </w:r>
    </w:p>
    <w:p>
      <w:r>
        <w:t>Build 466: alt-family sibling collection consolidation builds the aggregate in a temporary sibling rather than nesting a duplicate parent-name folder. -&gt; §11, §§16, 20; history: old-change-logs.zip.</w:t>
      </w:r>
    </w:p>
    <w:p>
      <w:r>
        <w:t>Build 465: interrupted sibling-collection recovery is portable between native Windows and WSL path forms. -&gt; §11, §15; history: old-change-logs.zip.</w:t>
      </w:r>
    </w:p>
    <w:p>
      <w:r>
        <w:t>Build 464: interrupted sibling-collection recovery handles the case where the journaled final container occupies the same pathname as the source parent. -&gt; §11, §15; history: old-change-logs.zip.</w:t>
      </w:r>
    </w:p>
    <w:p>
      <w:r>
        <w:t>Build 463: the main GUI Search Path label becomes Path(s) while the CLI --search-path option remains unchanged. -&gt; §§2, 14; history: old-change-logs.zip.</w:t>
      </w:r>
    </w:p>
    <w:p>
      <w:r>
        <w:t>Build 462: native-Windows Path(s) drag/drop becomes cumulative across multiple folders and .txt control files. -&gt; §§2, 14; history: old-change-logs.zip.</w:t>
      </w:r>
    </w:p>
    <w:p>
      <w:r>
        <w:t>Build 461: Search Path becomes required for Full Inventory and TLOHome/toBeInventoried.txt is consumed only when explicitly supplied as a control file. -&gt; §§2, 14; history: old-change-logs.zip.</w:t>
      </w:r>
    </w:p>
    <w:p>
      <w:r>
        <w:t>Build 460: guarded non-compliant Artist + Place + Date + TechnicalSuffix recovery is added without weakening normal artist/date parsing. -&gt; §4, §5, §§6–7; history: old-change-logs.zip.</w:t>
      </w:r>
    </w:p>
    <w:p>
      <w:r>
        <w:t>Build 459: standalone tlo-tag and GUI Tag gain the same setlist.fm, upgrade, and Thorough Setlist Matching controls used by inventory. -&gt; §§2, 14, §9, §13; history: old-change-logs.zip.</w:t>
      </w:r>
    </w:p>
    <w:p>
      <w:r>
        <w:t>Build 458: GitHub update package selection/validation is hardened and supports UPDATE-only and COMPLETE-only release sets. -&gt; §5, §§16, 20; history: old-change-logs.zip.</w:t>
      </w:r>
    </w:p>
    <w:p>
      <w:r>
        <w:t>Build 457: supported same-month multi-day performance-date ranges are added in numeric and textual forms. -&gt; §5; history: old-change-logs.zip.</w:t>
      </w:r>
    </w:p>
    <w:p>
      <w:r>
        <w:t>Build 456: the embedded Reverse Copy/Delete + Rename GUI action is replaced by the standalone tlo-reverse CLI. -&gt; §§2, 14, §13; history: old-change-logs.zip.</w:t>
      </w:r>
    </w:p>
    <w:p>
      <w:r>
        <w:t>Build 453/454: GUI spacing is normalized into one horizontal Corruption Handling row, and Thorough information appears only for the relevant enabled lookup combination. -&gt; §§2, 14, §17; history: old-change-logs.zip.</w:t>
      </w:r>
    </w:p>
    <w:p>
      <w:r>
        <w:t>Build 452: main-window checkbox indicators are top-aligned with wrapped labels and checkbox row padding is reduced without overlap. -&gt; §§2, 14; history: old-change-logs.zip.</w:t>
      </w:r>
    </w:p>
    <w:p>
      <w:r>
        <w:t>Build 451: the main Inventory header and top input area are compacted, including placement of TLOHome and Path(s). -&gt; §§1–20; history: old-change-logs.zip.</w:t>
      </w:r>
    </w:p>
    <w:p>
      <w:r>
        <w:t>Build 450: TLO GUI button labels are centered horizontally and vertically, including multiline labels. -&gt; §§2, 14; history: old-change-logs.zip.</w:t>
      </w:r>
    </w:p>
    <w:p>
      <w:r>
        <w:t>Build 449: Artist/Album separators with or without surrounding spaces are accepted when the complete left side resolves uniquely as an artist. -&gt; §4; history: old-change-logs.zip.</w:t>
      </w:r>
    </w:p>
    <w:p>
      <w:r>
        <w:t>Build 448: Thorough Setlist Matching status text is simplified so no Thorough-specific Info line appears when no online source is selected. -&gt; §§2, 14, §17; history: old-change-logs.zip.</w:t>
      </w:r>
    </w:p>
    <w:p>
      <w:r>
        <w:t>Build 447: Thorough Setlist Matching Info text names etreeDB and setlist.fm only when those sources are actually enabled. -&gt; §§2, 14, §9; history: old-change-logs.zip.</w:t>
      </w:r>
    </w:p>
    <w:p>
      <w:r>
        <w:t>Build 446: the main GUI checkbox block and surrounding spacing are compacted while preserving control behavior. -&gt; §§2, 14, §§16, 20, §17; history: old-change-logs.zip.</w:t>
      </w:r>
    </w:p>
    <w:p>
      <w:r>
        <w:t>Build 445: Corruption Handling controls are further compacted without changing corruption-policy behavior. -&gt; §§1–20; history: old-change-logs.zip.</w:t>
      </w:r>
    </w:p>
    <w:p>
      <w:r>
        <w:t>Build 444: Corruption Handling becomes a compact single-row group with a two-line threshold label and adjacent percent sign. -&gt; §§2, 14; history: old-change-logs.zip.</w:t>
      </w:r>
    </w:p>
    <w:p>
      <w:r>
        <w:t>Build 443: the public application version advances from 1.5 to 1.6 with no functional inventory, corruption-policy, or GUI behavior change. -&gt; §§1–20; history: old-change-logs.zip.</w:t>
      </w:r>
    </w:p>
    <w:p>
      <w:r>
        <w:t>Build 442: Replaces the acceptable-corruption percentage model with independent Corrupt files and Folder removal polic.. -&gt; §20.6, REQ-CORR-* and REQ-TRASH-*.</w:t>
      </w:r>
    </w:p>
    <w:p>
      <w:r>
        <w:t>Build 441: main GUI option layout is compacted, including Performance Mode width and checkbox spacing. -&gt; §§2, 14; history: old-change-logs.zip.</w:t>
      </w:r>
    </w:p>
    <w:p>
      <w:r>
        <w:t>Build 440: hard-case identity/date consensus gives coherent path and selected-setlist evidence precedence over isolated weaker evidence. -&gt; §5; history: old-change-logs.zip.</w:t>
      </w:r>
    </w:p>
    <w:p>
      <w:r>
        <w:t>Build 433: Structured corruption assessment/application architecture and requirements consolidation -&gt; REQ-CORR-006/007, REQ-TRASH-002, §17.5, and this revision index.</w:t>
      </w:r>
    </w:p>
    <w:p>
      <w:r>
        <w:t>Build 432: Iterative traversal, bounded GUI callback wait, and bounded metadata/API reads -&gt; §16.</w:t>
      </w:r>
    </w:p>
    <w:p>
      <w:r>
        <w:t>Build 431: Destructive-path fail-closed corruption/Trash/duplicate validation and GUI corruption-percent validation -&gt; §18.4, §20.6, REQ-CORR-* and REQ-TRASH-*.</w:t>
      </w:r>
    </w:p>
    <w:p>
      <w:r>
        <w:t>Build 430: Detailed re-inventory dispositions, xxxx-xx-xx sibling boundary, global Ctrl-A -&gt; §3, §12, §14.</w:t>
      </w:r>
    </w:p>
    <w:p>
      <w:r>
        <w:t>Build 429: Re-inventory reconciliation, supplemental descendant grouping, same-root collapse, no-op rename/tag writes -&gt; §1/§3/§12/§13.</w:t>
      </w:r>
    </w:p>
    <w:p>
      <w:r>
        <w:t>Build 428: Same-partition sibling collection consolidation -&gt; §3 and sibling-collection requirements.</w:t>
      </w:r>
    </w:p>
    <w:p>
      <w:r>
        <w:t>Build 427: Guarded one-layer nested media-wrapper promotion -&gt; §3, §7.2, and §20.5.</w:t>
      </w:r>
    </w:p>
    <w:p>
      <w:r>
        <w:t>Build 426: Date/artist/venue/location precedence refinements -&gt; §5 and §7.20.</w:t>
      </w:r>
    </w:p>
    <w:p>
      <w:r>
        <w:t>Build 425: Artist qualifier and venue/location guardrails -&gt; §4 and §7.</w:t>
      </w:r>
    </w:p>
    <w:p>
      <w:r>
        <w:t>Build 424: Partial dash-date repair -&gt; §5 and the canonical date parser.</w:t>
      </w:r>
    </w:p>
    <w:p>
      <w:r>
        <w:t>Build 423: the independent GitHub Build Process artifact contract is established; source-bundle and release-process artifacts are kept separate. -&gt; the TLO source bundle and GitHub Build Process are strictly separate artifacts under §2.12.</w:t>
      </w:r>
    </w:p>
    <w:p>
      <w:r>
        <w:t>Build 422: Application/source-bundle documentation and packaging transition -&gt; §2.12.</w:t>
      </w:r>
    </w:p>
    <w:p>
      <w:r>
        <w:t>Build 421: Parenthesized multipart track ordering -&gt; §3 and tagging order requirements.</w:t>
      </w:r>
    </w:p>
    <w:p>
      <w:r>
        <w:t>Build 420: Thorough Setlist Matching -&gt; §9, §13, and §14.</w:t>
      </w:r>
    </w:p>
    <w:p>
      <w:r>
        <w:t>Build 419: Commercial multipart releases and ALBUM_NAME behavior -&gt; §3, §7.19, and tagging requirements.</w:t>
      </w:r>
    </w:p>
    <w:p>
      <w:r>
        <w:t>Build 416: Structured Live at setlist metadata precedence -&gt; §7.20.</w:t>
      </w:r>
    </w:p>
    <w:p>
      <w:r>
        <w:t>Build 415: Copy/Delete destination is an append container, not a broad re-inventory scope -&gt; §2 and postprocess/re-inventory requirements.</w:t>
      </w:r>
    </w:p>
    <w:p>
      <w:r>
        <w:t>Build 409: change summary -&gt; §13.1 and §7.20.</w:t>
      </w:r>
    </w:p>
    <w:p>
      <w:r>
        <w:t>Build 408: Generic Title/Titled/Titles placeholder rejection -&gt; §13.1.</w:t>
      </w:r>
    </w:p>
    <w:p>
      <w:r>
        <w:t>Build 407: change summary -&gt; §4.</w:t>
      </w:r>
    </w:p>
    <w:p>
      <w:r>
        <w:t>Build 406: Regression-fixture stabilization only; no application behavior change. -&gt; §17; history: old-change-logs.zip.</w:t>
      </w:r>
    </w:p>
    <w:p>
      <w:r>
        <w:t>Build 405: Authoritative log-token cleanup and token validation -&gt; §12 and §15.</w:t>
      </w:r>
    </w:p>
    <w:p>
      <w:r>
        <w:t>Build 404: GitHub update redirect/digest hardening -&gt; §16.1 and update behavior.</w:t>
      </w:r>
    </w:p>
    <w:p>
      <w:r>
        <w:t>Build 403: Tri-state duplicate FLAC validation -&gt; §18.4.</w:t>
      </w:r>
    </w:p>
    <w:p>
      <w:r>
        <w:t>Build 402: Cross-partition Copy/Delete SHA-256 verification and rollback -&gt; §2.11 and tagging/reverse-copy requirements.</w:t>
      </w:r>
    </w:p>
    <w:p>
      <w:r>
        <w:t>Build 401: Setlist-family exact matching and literal directory enumeration -&gt; setlist/postprocess/logging sections.</w:t>
      </w:r>
    </w:p>
    <w:p>
      <w:r>
        <w:t>Build 400: Unreadable media fail-safe classification -&gt; §20.6 and REQ-CORR-*.</w:t>
      </w:r>
    </w:p>
    <w:p>
      <w:r>
        <w:t>Build 399: Cross-partition potential-duplicate handling -&gt; duplicate/add-shows requirements.</w:t>
      </w:r>
    </w:p>
    <w:p>
      <w:r>
        <w:t>Build 398: Corruption threshold/removal baseline -&gt; §20.6.</w:t>
      </w:r>
    </w:p>
    <w:p>
      <w:r>
        <w:t>This index is navigational rather than normative. Current behavior is defined in §§1–20; detailed historical build narratives are archived in old-change-logs.zip.</w:t>
      </w:r>
    </w:p>
    <w:p>
      <w:pPr>
        <w:pStyle w:val="Heading1"/>
        <w:rPr/>
      </w:pPr>
      <w:r>
        <w:t>Appendix A - Requirements Traceability Matrix</w:t>
      </w:r>
    </w:p>
    <w:p>
      <w:pPr>
        <w:pStyle w:val="Normal"/>
        <w:rPr/>
      </w:pPr>
      <w:r>
        <w:t>This matrix maps stable requirement IDs/areas to concrete code modules and regression tests. Sections 0-20 are normative; Section 21 is historical navigation only. Where a broad legacy area has not yet received individual IDs, the owning section remains authoritative until IDs are assigned.</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cPr>
          <w:p>
            <w:r>
              <w:t>Requirement ID / Area</w:t>
            </w:r>
          </w:p>
        </w:tc>
        <w:tc>
          <w:tcPr>
            <w:tcW w:w="2880" w:type="dxa"/>
            <w:tcBorders/>
          </w:tcPr>
          <w:p>
            <w:r>
              <w:t>Code Module(s)</w:t>
            </w:r>
          </w:p>
        </w:tc>
        <w:tc>
          <w:tcPr>
            <w:tcW w:w="2880" w:type="dxa"/>
            <w:tcBorders/>
          </w:tcPr>
          <w:p>
            <w:r>
              <w:t>Requirement / Regression Coverage</w:t>
            </w:r>
          </w:p>
        </w:tc>
      </w:tr>
      <w:tr>
        <w:trPr/>
        <w:tc>
          <w:tcPr>
            <w:tcW w:w="2880" w:type="dxa"/>
            <w:tcBorders/>
          </w:tcPr>
          <w:p>
            <w:r>
              <w:t>Core output and processing requirements</w:t>
            </w:r>
          </w:p>
        </w:tc>
        <w:tc>
          <w:tcPr>
            <w:tcW w:w="2880" w:type="dxa"/>
            <w:tcBorders/>
          </w:tcPr>
          <w:p>
            <w:r>
              <w:t>tlo_postprocess.py / tlo_text_utils.py / shared normalization utilities</w:t>
            </w:r>
          </w:p>
        </w:tc>
        <w:tc>
          <w:tcPr>
            <w:tcW w:w="2880" w:type="dxa"/>
            <w:tcBorders/>
          </w:tcPr>
          <w:p>
            <w:r>
              <w:t>Output normalization, exported/generated setlists, elapsed time, postprocess reporting, and bounded parallel assembly.</w:t>
            </w:r>
          </w:p>
        </w:tc>
      </w:tr>
      <w:tr>
        <w:trPr/>
        <w:tc>
          <w:tcPr>
            <w:tcW w:w="2880" w:type="dxa"/>
            <w:tcBorders/>
          </w:tcPr>
          <w:p>
            <w:pPr>
              <w:pStyle w:val="Normal"/>
              <w:spacing w:before="0" w:after="0"/>
              <w:rPr/>
            </w:pPr>
            <w:r>
              <w:rPr>
                <w:sz w:val="16"/>
              </w:rPr>
              <w:t>Search path source selection</w:t>
            </w:r>
          </w:p>
        </w:tc>
        <w:tc>
          <w:tcPr>
            <w:tcW w:w="2880" w:type="dxa"/>
            <w:tcBorders/>
          </w:tcPr>
          <w:p>
            <w:pPr>
              <w:pStyle w:val="Normal"/>
              <w:spacing w:before="0" w:after="0"/>
              <w:rPr/>
            </w:pPr>
            <w:r>
              <w:rPr>
                <w:sz w:val="16"/>
              </w:rPr>
              <w:t>inventory_parser_lib.py / root loading logic</w:t>
            </w:r>
          </w:p>
        </w:tc>
        <w:tc>
          <w:tcPr>
            <w:tcW w:w="2880" w:type="dxa"/>
            <w:tcBorders/>
          </w:tcPr>
          <w:p>
            <w:r>
              <w:t>Search Path is required; it expands semicolon-separated direct entries and explicitly supplied .txt control files. TLOHome/toBeInventoried.txt is never an implicit source.</w:t>
            </w:r>
          </w:p>
        </w:tc>
      </w:tr>
      <w:tr>
        <w:trPr/>
        <w:tc>
          <w:tcPr>
            <w:tcW w:w="2880" w:type="dxa"/>
            <w:tcBorders/>
          </w:tcPr>
          <w:p>
            <w:pPr>
              <w:pStyle w:val="Normal"/>
              <w:spacing w:before="0" w:after="0"/>
              <w:rPr/>
            </w:pPr>
            <w:r>
              <w:rPr>
                <w:sz w:val="16"/>
              </w:rPr>
              <w:t>Slam association</w:t>
            </w:r>
          </w:p>
        </w:tc>
        <w:tc>
          <w:tcPr>
            <w:tcW w:w="2880" w:type="dxa"/>
            <w:tcBorders/>
          </w:tcPr>
          <w:p>
            <w:pPr>
              <w:pStyle w:val="Normal"/>
              <w:spacing w:before="0" w:after="0"/>
              <w:rPr/>
            </w:pPr>
            <w:r>
              <w:rPr>
                <w:sz w:val="16"/>
              </w:rPr>
              <w:t>inventory_parser_lib.py / worker config / phase 2/3</w:t>
            </w:r>
          </w:p>
        </w:tc>
        <w:tc>
          <w:tcPr>
            <w:tcW w:w="2880" w:type="dxa"/>
            <w:tcBorders/>
          </w:tcPr>
          <w:p>
            <w:r>
              <w:t>Inline --/slam is available per direct entry/control-file line. The separate Slam/--/slam value applies only to direct Search Path entries and is invalid without Search Path or with a .txt control-file entry.</w:t>
            </w:r>
          </w:p>
        </w:tc>
      </w:tr>
      <w:tr>
        <w:trPr/>
        <w:tc>
          <w:tcPr>
            <w:tcW w:w="2880" w:type="dxa"/>
            <w:tcBorders/>
          </w:tcPr>
          <w:p>
            <w:pPr>
              <w:pStyle w:val="Normal"/>
              <w:spacing w:before="0" w:after="0"/>
              <w:rPr/>
            </w:pPr>
            <w:r>
              <w:rPr>
                <w:sz w:val="16"/>
              </w:rPr>
              <w:t>TLOHome precedence and myTLO</w:t>
            </w:r>
          </w:p>
        </w:tc>
        <w:tc>
          <w:tcPr>
            <w:tcW w:w="2880" w:type="dxa"/>
            <w:tcBorders/>
          </w:tcPr>
          <w:p>
            <w:pPr>
              <w:pStyle w:val="Normal"/>
              <w:spacing w:before="0" w:after="0"/>
              <w:rPr/>
            </w:pPr>
            <w:r>
              <w:rPr>
                <w:sz w:val="16"/>
              </w:rPr>
              <w:t>inventory_parser_lib.py / tlo-gi.py / tlo-main.py</w:t>
            </w:r>
          </w:p>
        </w:tc>
        <w:tc>
          <w:tcPr>
            <w:tcW w:w="2880" w:type="dxa"/>
            <w:tcBorders/>
          </w:tcPr>
          <w:p>
            <w:pPr>
              <w:pStyle w:val="Normal"/>
              <w:spacing w:before="0" w:after="0"/>
              <w:rPr/>
            </w:pPr>
            <w:r>
              <w:rPr>
                <w:sz w:val="16"/>
              </w:rPr>
              <w:t>--myTLO, then --TLOHome, then TLOHome environment variable.</w:t>
            </w:r>
          </w:p>
        </w:tc>
      </w:tr>
      <w:tr>
        <w:trPr/>
        <w:tc>
          <w:tcPr>
            <w:tcW w:w="2880" w:type="dxa"/>
            <w:tcBorders/>
          </w:tcPr>
          <w:p>
            <w:pPr>
              <w:pStyle w:val="Normal"/>
              <w:spacing w:before="0" w:after="0"/>
              <w:rPr/>
            </w:pPr>
            <w:r>
              <w:rPr>
                <w:sz w:val="16"/>
              </w:rPr>
              <w:t>Path accessibility reporting</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Report original path, normalized path, and reason for inaccessible roots.</w:t>
            </w:r>
          </w:p>
        </w:tc>
      </w:tr>
      <w:tr>
        <w:trPr/>
        <w:tc>
          <w:tcPr>
            <w:tcW w:w="2880" w:type="dxa"/>
            <w:tcBorders/>
          </w:tcPr>
          <w:p>
            <w:pPr>
              <w:pStyle w:val="Normal"/>
              <w:spacing w:before="0" w:after="0"/>
              <w:rPr/>
            </w:pPr>
            <w:r>
              <w:rPr>
                <w:sz w:val="16"/>
              </w:rPr>
              <w:t>Duplicate and overlapping path rejection</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Reject duplicates and obvious nested roots before scanning.</w:t>
            </w:r>
          </w:p>
        </w:tc>
      </w:tr>
      <w:tr>
        <w:trPr/>
        <w:tc>
          <w:tcPr>
            <w:tcW w:w="2880" w:type="dxa"/>
            <w:tcBorders/>
          </w:tcPr>
          <w:p>
            <w:pPr>
              <w:pStyle w:val="Normal"/>
              <w:spacing w:before="0" w:after="0"/>
              <w:rPr/>
            </w:pPr>
            <w:r>
              <w:rPr>
                <w:sz w:val="16"/>
              </w:rPr>
              <w:t>Phase 1 pruning</w:t>
            </w:r>
          </w:p>
        </w:tc>
        <w:tc>
          <w:tcPr>
            <w:tcW w:w="2880" w:type="dxa"/>
            <w:tcBorders/>
          </w:tcPr>
          <w:p>
            <w:pPr>
              <w:pStyle w:val="Normal"/>
              <w:spacing w:before="0" w:after="0"/>
              <w:rPr/>
            </w:pPr>
            <w:r>
              <w:rPr>
                <w:sz w:val="16"/>
              </w:rPr>
              <w:t>walk_trees_lib.py / initial_dir_walk_lib.py</w:t>
            </w:r>
          </w:p>
        </w:tc>
        <w:tc>
          <w:tcPr>
            <w:tcW w:w="2880" w:type="dxa"/>
            <w:tcBorders/>
          </w:tcPr>
          <w:p>
            <w:pPr>
              <w:pStyle w:val="Normal"/>
              <w:spacing w:before="0" w:after="0"/>
              <w:rPr/>
            </w:pPr>
            <w:r>
              <w:rPr>
                <w:sz w:val="16"/>
              </w:rPr>
              <w:t>Apply -ignoreDir and system-folder pruning and stop descent after real media files.</w:t>
            </w:r>
          </w:p>
        </w:tc>
      </w:tr>
      <w:tr>
        <w:trPr/>
        <w:tc>
          <w:tcPr>
            <w:tcW w:w="2880" w:type="dxa"/>
            <w:tcBorders/>
          </w:tcPr>
          <w:p>
            <w:pPr>
              <w:pStyle w:val="Normal"/>
              <w:spacing w:before="0" w:after="0"/>
              <w:rPr/>
            </w:pPr>
            <w:r>
              <w:rPr>
                <w:sz w:val="16"/>
              </w:rPr>
              <w:t>Music file detection and stop descent</w:t>
            </w:r>
          </w:p>
        </w:tc>
        <w:tc>
          <w:tcPr>
            <w:tcW w:w="2880" w:type="dxa"/>
            <w:tcBorders/>
          </w:tcPr>
          <w:p>
            <w:pPr>
              <w:pStyle w:val="Normal"/>
              <w:spacing w:before="0" w:after="0"/>
              <w:rPr/>
            </w:pPr>
            <w:r>
              <w:rPr>
                <w:sz w:val="16"/>
              </w:rPr>
              <w:t>walk_trees_lib.py / inventory_list_lib.py</w:t>
            </w:r>
          </w:p>
        </w:tc>
        <w:tc>
          <w:tcPr>
            <w:tcW w:w="2880" w:type="dxa"/>
            <w:tcBorders/>
          </w:tcPr>
          <w:p>
            <w:pPr>
              <w:pStyle w:val="Normal"/>
              <w:spacing w:before="0" w:after="0"/>
              <w:rPr/>
            </w:pPr>
            <w:r>
              <w:rPr>
                <w:sz w:val="16"/>
              </w:rPr>
              <w:t>Use extension list and file-type checks; do not treat extension-like directory names as files.</w:t>
            </w:r>
          </w:p>
        </w:tc>
      </w:tr>
      <w:tr>
        <w:trPr/>
        <w:tc>
          <w:tcPr>
            <w:tcW w:w="2880" w:type="dxa"/>
            <w:tcBorders/>
          </w:tcPr>
          <w:p>
            <w:pPr>
              <w:pStyle w:val="Normal"/>
              <w:spacing w:before="0" w:after="0"/>
              <w:rPr/>
            </w:pPr>
            <w:r>
              <w:rPr>
                <w:sz w:val="16"/>
              </w:rPr>
              <w:t>Artist DB lookup and collisions</w:t>
            </w:r>
          </w:p>
        </w:tc>
        <w:tc>
          <w:tcPr>
            <w:tcW w:w="2880" w:type="dxa"/>
            <w:tcBorders/>
          </w:tcPr>
          <w:p>
            <w:pPr>
              <w:pStyle w:val="Normal"/>
              <w:spacing w:before="0" w:after="0"/>
              <w:rPr/>
            </w:pPr>
            <w:r>
              <w:rPr>
                <w:sz w:val="16"/>
              </w:rPr>
              <w:t>artist matcher / phase 2/3</w:t>
            </w:r>
          </w:p>
        </w:tc>
        <w:tc>
          <w:tcPr>
            <w:tcW w:w="2880" w:type="dxa"/>
            <w:tcBorders/>
          </w:tcPr>
          <w:p>
            <w:pPr>
              <w:pStyle w:val="Normal"/>
              <w:spacing w:before="0" w:after="0"/>
              <w:rPr/>
            </w:pPr>
            <w:r>
              <w:rPr>
                <w:sz w:val="16"/>
              </w:rPr>
              <w:t>Use TLOHome/TLO_DBs/artists.sqlite; record collisions.</w:t>
            </w:r>
          </w:p>
        </w:tc>
      </w:tr>
      <w:tr>
        <w:trPr/>
        <w:tc>
          <w:tcPr>
            <w:tcW w:w="2880" w:type="dxa"/>
            <w:tcBorders/>
          </w:tcPr>
          <w:p>
            <w:pPr>
              <w:pStyle w:val="Normal"/>
              <w:spacing w:before="0" w:after="0"/>
              <w:rPr/>
            </w:pPr>
            <w:r>
              <w:rPr>
                <w:sz w:val="16"/>
              </w:rPr>
              <w:t>Date parsing</w:t>
            </w:r>
          </w:p>
        </w:tc>
        <w:tc>
          <w:tcPr>
            <w:tcW w:w="2880" w:type="dxa"/>
            <w:tcBorders/>
          </w:tcPr>
          <w:p>
            <w:pPr>
              <w:pStyle w:val="Normal"/>
              <w:spacing w:before="0" w:after="0"/>
              <w:rPr/>
            </w:pPr>
            <w:r>
              <w:rPr>
                <w:sz w:val="16"/>
              </w:rPr>
              <w:t>date parser / phase 2/3</w:t>
            </w:r>
          </w:p>
        </w:tc>
        <w:tc>
          <w:tcPr>
            <w:tcW w:w="2880" w:type="dxa"/>
            <w:tcBorders/>
          </w:tcPr>
          <w:p>
            <w:pPr>
              <w:pStyle w:val="Normal"/>
              <w:spacing w:before="0" w:after="0"/>
              <w:rPr/>
            </w:pPr>
            <w:r>
              <w:rPr>
                <w:sz w:val="16"/>
              </w:rPr>
              <w:t>Normalize accepted date formats, placeholders, and supported ranges.</w:t>
            </w:r>
          </w:p>
        </w:tc>
      </w:tr>
      <w:tr>
        <w:trPr/>
        <w:tc>
          <w:tcPr>
            <w:tcW w:w="2880" w:type="dxa"/>
            <w:tcBorders/>
          </w:tcPr>
          <w:p>
            <w:pPr>
              <w:pStyle w:val="Normal"/>
              <w:spacing w:before="0" w:after="0"/>
              <w:rPr/>
            </w:pPr>
            <w:r>
              <w:rPr>
                <w:sz w:val="16"/>
              </w:rPr>
              <w:t>Music tag metadata check</w:t>
            </w:r>
          </w:p>
        </w:tc>
        <w:tc>
          <w:tcPr>
            <w:tcW w:w="2880" w:type="dxa"/>
            <w:tcBorders/>
          </w:tcPr>
          <w:p>
            <w:pPr>
              <w:pStyle w:val="Normal"/>
              <w:spacing w:before="0" w:after="0"/>
              <w:rPr/>
            </w:pPr>
            <w:r>
              <w:rPr>
                <w:sz w:val="16"/>
              </w:rPr>
              <w:t>tag reader / phase 2/3</w:t>
            </w:r>
          </w:p>
        </w:tc>
        <w:tc>
          <w:tcPr>
            <w:tcW w:w="2880" w:type="dxa"/>
            <w:tcBorders/>
          </w:tcPr>
          <w:p>
            <w:r>
              <w:t>Audio-tag artist is the low-priority tag evidence tier defined by §4.1; ALBUMARTIST is considered before ARTIST within that tier, and valid Artist DB matches are not discarded by generic unknown/track noise markers. FLAC/MP3 DATE tags are compared against stronger date evidence under the non-compliant rules.</w:t>
            </w:r>
          </w:p>
        </w:tc>
      </w:tr>
      <w:tr>
        <w:trPr/>
        <w:tc>
          <w:tcPr>
            <w:tcW w:w="2880" w:type="dxa"/>
            <w:tcBorders/>
          </w:tcPr>
          <w:p>
            <w:pPr>
              <w:pStyle w:val="Normal"/>
              <w:spacing w:before="0" w:after="0"/>
              <w:rPr/>
            </w:pPr>
            <w:r>
              <w:rPr>
                <w:sz w:val="16"/>
              </w:rPr>
              <w:t>Non-compliant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String1 Date String2, String1 Date, date-only, Date String3, and String1 - String2 rules.</w:t>
            </w:r>
          </w:p>
        </w:tc>
      </w:tr>
      <w:tr>
        <w:trPr/>
        <w:tc>
          <w:tcPr>
            <w:tcW w:w="2880" w:type="dxa"/>
            <w:tcBorders/>
          </w:tcPr>
          <w:p>
            <w:pPr>
              <w:pStyle w:val="Normal"/>
              <w:spacing w:before="0" w:after="0"/>
              <w:rPr/>
            </w:pPr>
            <w:r>
              <w:rPr>
                <w:sz w:val="16"/>
              </w:rPr>
              <w:t>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compliant String1 Date String2, String1 - String2, String1 Date, and final folder fallback rules.</w:t>
            </w:r>
          </w:p>
        </w:tc>
      </w:tr>
      <w:tr>
        <w:trPr/>
        <w:tc>
          <w:tcPr>
            <w:tcW w:w="2880" w:type="dxa"/>
            <w:tcBorders/>
          </w:tcPr>
          <w:p>
            <w:pPr>
              <w:pStyle w:val="Normal"/>
              <w:spacing w:before="0" w:after="0"/>
              <w:rPr/>
            </w:pPr>
            <w:r>
              <w:rPr>
                <w:sz w:val="16"/>
              </w:rPr>
              <w:t>Unresolved shows handling</w:t>
            </w:r>
          </w:p>
        </w:tc>
        <w:tc>
          <w:tcPr>
            <w:tcW w:w="2880" w:type="dxa"/>
            <w:tcBorders/>
          </w:tcPr>
          <w:p>
            <w:pPr>
              <w:pStyle w:val="Normal"/>
              <w:spacing w:before="0" w:after="0"/>
              <w:rPr/>
            </w:pPr>
            <w:r>
              <w:rPr>
                <w:sz w:val="16"/>
              </w:rPr>
              <w:t>tlo_postprocess.py / aggregator</w:t>
            </w:r>
          </w:p>
        </w:tc>
        <w:tc>
          <w:tcPr>
            <w:tcW w:w="2880" w:type="dxa"/>
            <w:tcBorders/>
          </w:tcPr>
          <w:p>
            <w:pPr>
              <w:pStyle w:val="Normal"/>
              <w:spacing w:before="0" w:after="0"/>
              <w:rPr/>
            </w:pPr>
            <w:r>
              <w:rPr>
                <w:sz w:val="16"/>
              </w:rPr>
              <w:t>Write unresolved paths and apply the Section 10.1 date-conflict outcomes.</w:t>
            </w:r>
          </w:p>
        </w:tc>
      </w:tr>
      <w:tr>
        <w:trPr/>
        <w:tc>
          <w:tcPr>
            <w:tcW w:w="2880" w:type="dxa"/>
            <w:tcBorders/>
          </w:tcPr>
          <w:p>
            <w:pPr>
              <w:pStyle w:val="Normal"/>
              <w:spacing w:before="0" w:after="0"/>
              <w:rPr/>
            </w:pPr>
            <w:r>
              <w:rPr>
                <w:sz w:val="16"/>
              </w:rPr>
              <w:t>Aggregator reads metadata logs</w:t>
            </w:r>
          </w:p>
        </w:tc>
        <w:tc>
          <w:tcPr>
            <w:tcW w:w="2880" w:type="dxa"/>
            <w:tcBorders/>
          </w:tcPr>
          <w:p>
            <w:pPr>
              <w:pStyle w:val="Normal"/>
              <w:spacing w:before="0" w:after="0"/>
              <w:rPr/>
            </w:pPr>
            <w:r>
              <w:rPr>
                <w:sz w:val="16"/>
              </w:rPr>
              <w:t>tlo_postprocess.py</w:t>
            </w:r>
          </w:p>
        </w:tc>
        <w:tc>
          <w:tcPr>
            <w:tcW w:w="2880" w:type="dxa"/>
            <w:tcBorders/>
          </w:tcPr>
          <w:p>
            <w:pPr>
              <w:pStyle w:val="Normal"/>
              <w:spacing w:before="0" w:after="0"/>
              <w:rPr/>
            </w:pPr>
            <w:r>
              <w:rPr>
                <w:sz w:val="16"/>
              </w:rPr>
              <w:t>Read all meta*.log files from TLOHome/logs.</w:t>
            </w:r>
          </w:p>
        </w:tc>
      </w:tr>
      <w:tr>
        <w:trPr/>
        <w:tc>
          <w:tcPr>
            <w:tcW w:w="2880" w:type="dxa"/>
            <w:tcBorders/>
          </w:tcPr>
          <w:p>
            <w:pPr>
              <w:pStyle w:val="Normal"/>
              <w:spacing w:before="0" w:after="0"/>
              <w:rPr/>
            </w:pPr>
            <w:r>
              <w:rPr>
                <w:sz w:val="16"/>
              </w:rPr>
              <w:t>Short token log names and cleanup</w:t>
            </w:r>
          </w:p>
        </w:tc>
        <w:tc>
          <w:tcPr>
            <w:tcW w:w="2880" w:type="dxa"/>
            <w:tcBorders/>
          </w:tcPr>
          <w:p>
            <w:pPr>
              <w:pStyle w:val="Normal"/>
              <w:spacing w:before="0" w:after="0"/>
              <w:rPr/>
            </w:pPr>
            <w:r>
              <w:rPr>
                <w:sz w:val="16"/>
              </w:rPr>
              <w:t>dispatcher / worker logging</w:t>
            </w:r>
          </w:p>
        </w:tc>
        <w:tc>
          <w:tcPr>
            <w:tcW w:w="2880" w:type="dxa"/>
            <w:tcBorders/>
          </w:tcPr>
          <w:p>
            <w:pPr>
              <w:pStyle w:val="Normal"/>
              <w:spacing w:before="0" w:after="0"/>
              <w:rPr/>
            </w:pPr>
            <w:r>
              <w:rPr>
                <w:sz w:val="16"/>
              </w:rPr>
              <w:t>Use confX/deadX/compX/dupsX/groupsX/metaX logs and delete only active-run logs during cancellation.</w:t>
            </w:r>
          </w:p>
        </w:tc>
      </w:tr>
      <w:tr>
        <w:trPr/>
        <w:tc>
          <w:tcPr>
            <w:tcW w:w="2880" w:type="dxa"/>
            <w:tcBorders/>
          </w:tcPr>
          <w:p>
            <w:pPr>
              <w:pStyle w:val="Normal"/>
              <w:spacing w:before="0" w:after="0"/>
              <w:rPr/>
            </w:pPr>
            <w:r>
              <w:rPr>
                <w:sz w:val="16"/>
              </w:rPr>
              <w:t>CLI arguments</w:t>
            </w:r>
          </w:p>
        </w:tc>
        <w:tc>
          <w:tcPr>
            <w:tcW w:w="2880" w:type="dxa"/>
            <w:tcBorders/>
          </w:tcPr>
          <w:p>
            <w:pPr>
              <w:pStyle w:val="Normal"/>
              <w:spacing w:before="0" w:after="0"/>
              <w:rPr/>
            </w:pPr>
            <w:r>
              <w:rPr>
                <w:sz w:val="16"/>
              </w:rPr>
              <w:t>tlo-gi.py / inventory_parser_lib.py</w:t>
            </w:r>
          </w:p>
        </w:tc>
        <w:tc>
          <w:tcPr>
            <w:tcW w:w="2880" w:type="dxa"/>
            <w:tcBorders/>
          </w:tcPr>
          <w:p>
            <w:pPr>
              <w:pStyle w:val="Normal"/>
              <w:spacing w:before="0" w:after="0"/>
              <w:rPr/>
            </w:pPr>
            <w:r>
              <w:rPr>
                <w:sz w:val="16"/>
              </w:rPr>
              <w:t>Support current CLI only; removed flags must not affect output.</w:t>
            </w:r>
          </w:p>
        </w:tc>
      </w:tr>
      <w:tr>
        <w:trPr/>
        <w:tc>
          <w:tcPr>
            <w:tcW w:w="2880" w:type="dxa"/>
            <w:tcBorders/>
          </w:tcPr>
          <w:p>
            <w:pPr>
              <w:pStyle w:val="Normal"/>
              <w:spacing w:before="0" w:after="0"/>
              <w:rPr/>
            </w:pPr>
            <w:r>
              <w:rPr>
                <w:sz w:val="16"/>
              </w:rPr>
              <w:t>GUI inputs and help</w:t>
            </w:r>
          </w:p>
        </w:tc>
        <w:tc>
          <w:tcPr>
            <w:tcW w:w="2880" w:type="dxa"/>
            <w:tcBorders/>
          </w:tcPr>
          <w:p>
            <w:pPr>
              <w:pStyle w:val="Normal"/>
              <w:spacing w:before="0" w:after="0"/>
              <w:rPr/>
            </w:pPr>
            <w:r>
              <w:rPr>
                <w:sz w:val="16"/>
              </w:rPr>
              <w:t>tlo-main.py</w:t>
            </w:r>
          </w:p>
        </w:tc>
        <w:tc>
          <w:tcPr>
            <w:tcW w:w="2880" w:type="dxa"/>
            <w:tcBorders/>
          </w:tcPr>
          <w:p>
            <w:pPr>
              <w:pStyle w:val="Normal"/>
              <w:spacing w:before="0" w:after="0"/>
              <w:rPr/>
            </w:pPr>
            <w:r>
              <w:rPr>
                <w:sz w:val="16"/>
              </w:rPr>
              <w:t>Reflect tlo-gi inputs, embedded console, help, and hard-coded GUI display text.</w:t>
            </w:r>
          </w:p>
        </w:tc>
      </w:tr>
      <w:tr>
        <w:trPr/>
        <w:tc>
          <w:tcPr>
            <w:tcW w:w="2880" w:type="dxa"/>
            <w:tcBorders/>
          </w:tcPr>
          <w:p>
            <w:pPr>
              <w:pStyle w:val="Normal"/>
              <w:spacing w:before="0" w:after="0"/>
              <w:rPr/>
            </w:pPr>
            <w:r>
              <w:rPr>
                <w:sz w:val="16"/>
              </w:rPr>
              <w:t>Ctrl-C and Quit cleanup</w:t>
            </w:r>
          </w:p>
        </w:tc>
        <w:tc>
          <w:tcPr>
            <w:tcW w:w="2880" w:type="dxa"/>
            <w:tcBorders/>
          </w:tcPr>
          <w:p>
            <w:pPr>
              <w:pStyle w:val="Normal"/>
              <w:spacing w:before="0" w:after="0"/>
              <w:rPr/>
            </w:pPr>
            <w:r>
              <w:rPr>
                <w:sz w:val="16"/>
              </w:rPr>
              <w:t>tlo_main_lib.py / tlo-main.py / dispatcher</w:t>
            </w:r>
          </w:p>
        </w:tc>
        <w:tc>
          <w:tcPr>
            <w:tcW w:w="2880" w:type="dxa"/>
            <w:tcBorders/>
          </w:tcPr>
          <w:p>
            <w:pPr>
              <w:pStyle w:val="Normal"/>
              <w:spacing w:before="0" w:after="0"/>
              <w:rPr/>
            </w:pPr>
            <w:r>
              <w:rPr>
                <w:sz w:val="16"/>
              </w:rPr>
              <w:t>Apply three-state Quit behavior and Ctrl-C cleanup rules.</w:t>
            </w:r>
          </w:p>
        </w:tc>
      </w:tr>
      <w:tr>
        <w:trPr/>
        <w:tc>
          <w:tcPr>
            <w:tcW w:w="2880" w:type="dxa"/>
            <w:tcBorders/>
          </w:tcPr>
          <w:p>
            <w:pPr>
              <w:pStyle w:val="Normal"/>
              <w:spacing w:before="0" w:after="0"/>
              <w:rPr/>
            </w:pPr>
            <w:r>
              <w:rPr>
                <w:sz w:val="16"/>
              </w:rPr>
              <w:t>Startup errors visible to user</w:t>
            </w:r>
          </w:p>
        </w:tc>
        <w:tc>
          <w:tcPr>
            <w:tcW w:w="2880" w:type="dxa"/>
            <w:tcBorders/>
          </w:tcPr>
          <w:p>
            <w:pPr>
              <w:pStyle w:val="Normal"/>
              <w:spacing w:before="0" w:after="0"/>
              <w:rPr/>
            </w:pPr>
            <w:r>
              <w:rPr>
                <w:sz w:val="16"/>
              </w:rPr>
              <w:t>tlo-gi.py / tlo-main.py</w:t>
            </w:r>
          </w:p>
        </w:tc>
        <w:tc>
          <w:tcPr>
            <w:tcW w:w="2880" w:type="dxa"/>
            <w:tcBorders/>
          </w:tcPr>
          <w:p>
            <w:pPr>
              <w:pStyle w:val="Normal"/>
              <w:spacing w:before="0" w:after="0"/>
              <w:rPr/>
            </w:pPr>
            <w:r>
              <w:rPr>
                <w:sz w:val="16"/>
              </w:rPr>
              <w:t>Show readable errors and avoid disappearing console-only errors in GUI mode.</w:t>
            </w:r>
          </w:p>
        </w:tc>
      </w:tr>
      <w:tr>
        <w:tc>
          <w:tcPr>
            <w:tcW w:type="dxa" w:w="2880"/>
          </w:tcPr>
          <w:p>
            <w:r>
              <w:t>Non-functional and input-safety limits</w:t>
            </w:r>
          </w:p>
        </w:tc>
        <w:tc>
          <w:tcPr>
            <w:tcW w:type="dxa" w:w="2880"/>
          </w:tcPr>
          <w:p>
            <w:r>
              <w:t>tlo_text_utils.py / tlo_setlistfm_lookup.py / tlo_tag_lib.py</w:t>
            </w:r>
          </w:p>
        </w:tc>
        <w:tc>
          <w:tcPr>
            <w:tcW w:type="dxa" w:w="2880"/>
          </w:tcPr>
          <w:p>
            <w:r>
              <w:t>Bound input reads, finite waits, document collection/path limits, and diagnostic-log growth policy.</w:t>
            </w:r>
          </w:p>
        </w:tc>
      </w:tr>
      <w:tr>
        <w:tc>
          <w:tcPr>
            <w:tcW w:type="dxa" w:w="2880"/>
          </w:tcPr>
          <w:p>
            <w:r>
              <w:t>Corruption safety and Trash/Recycle decisions (REQ-CORR-*, REQ-TRASH-*)</w:t>
            </w:r>
          </w:p>
        </w:tc>
        <w:tc>
          <w:tcPr>
            <w:tcW w:type="dxa" w:w="2880"/>
          </w:tcPr>
          <w:p>
            <w:r>
              <w:t>tlo_corruption.py / tlo_phase23_v2.py / tlo-deleteDupes.py</w:t>
            </w:r>
          </w:p>
        </w:tc>
        <w:tc>
          <w:tcPr>
            <w:tcW w:type="dxa" w:w="2880"/>
          </w:tcPr>
          <w:p>
            <w:r>
              <w:t>Fail-closed corruption assessment, destructive-action authorization, Trash application, and duplicate FLAC tri-state validation.</w:t>
            </w:r>
          </w:p>
        </w:tc>
      </w:tr>
      <w:tr>
        <w:tc>
          <w:tcPr>
            <w:tcW w:type="dxa" w:w="2880"/>
          </w:tcPr>
          <w:p>
            <w:r>
              <w:t>Sibling collection grouping</w:t>
            </w:r>
          </w:p>
        </w:tc>
        <w:tc>
          <w:tcPr>
            <w:tcW w:type="dxa" w:w="2880"/>
          </w:tcPr>
          <w:p>
            <w:r>
              <w:t>tlo_sibling_collections.py / tlo_wrapper_rules.py / tlo_phase23_v2.py</w:t>
            </w:r>
          </w:p>
        </w:tc>
        <w:tc>
          <w:tcPr>
            <w:tcW w:type="dxa" w:w="2880"/>
          </w:tcPr>
          <w:p>
            <w:r>
              <w:t>Same-partition sibling-family evidence, xxxx-xx-xx boundary, nested media handling, and logical-group collapse.</w:t>
            </w:r>
          </w:p>
        </w:tc>
      </w:tr>
      <w:tr>
        <w:tc>
          <w:tcPr>
            <w:tcW w:type="dxa" w:w="2880"/>
          </w:tcPr>
          <w:p>
            <w:r>
              <w:t>Reverse Copy/Delete</w:t>
            </w:r>
          </w:p>
        </w:tc>
        <w:tc>
          <w:tcPr>
            <w:tcW w:type="dxa" w:w="2880"/>
          </w:tcPr>
          <w:p>
            <w:r>
              <w:t>tlo_reverse_folders.py / tlo_tag_lib.py / tlo_tree_compare.py</w:t>
            </w:r>
          </w:p>
        </w:tc>
        <w:tc>
          <w:tcPr>
            <w:tcW w:type="dxa" w:w="2880"/>
          </w:tcPr>
          <w:p>
            <w:r>
              <w:t>Current folder-reversal implementation with verified restoration, rollback containment, cross-partition identity checks, and rename propagation; legacy reverse modules are compatibility-only.</w:t>
            </w:r>
          </w:p>
        </w:tc>
      </w:tr>
      <w:tr>
        <w:tc>
          <w:tcPr>
            <w:tcW w:type="dxa" w:w="2880"/>
          </w:tcPr>
          <w:p>
            <w:r>
              <w:t>GitHub update safety (REQ-NET-*)</w:t>
            </w:r>
          </w:p>
        </w:tc>
        <w:tc>
          <w:tcPr>
            <w:tcW w:type="dxa" w:w="2880"/>
          </w:tcPr>
          <w:p>
            <w:r>
              <w:t>tlo_github_updates.py / tlo_network_io.py</w:t>
            </w:r>
          </w:p>
        </w:tc>
        <w:tc>
          <w:tcPr>
            <w:tcW w:type="dxa" w:w="2880"/>
          </w:tcPr>
          <w:p>
            <w:r>
              <w:t>HTTPS host allowlist, redirect revalidation, SHA-256 gating, bounded metadata reads, and streamed release-asset limits.</w:t>
            </w:r>
          </w:p>
        </w:tc>
      </w:tr>
      <w:tr>
        <w:tc>
          <w:tcPr>
            <w:tcW w:type="dxa" w:w="2880"/>
          </w:tcPr>
          <w:p>
            <w:r>
              <w:t>eTreeDB lookup</w:t>
            </w:r>
          </w:p>
        </w:tc>
        <w:tc>
          <w:tcPr>
            <w:tcW w:type="dxa" w:w="2880"/>
          </w:tcPr>
          <w:p>
            <w:r>
              <w:t>tlo_etree_lookup.py / tlo_network_io.py</w:t>
            </w:r>
          </w:p>
        </w:tc>
        <w:tc>
          <w:tcPr>
            <w:tcW w:type="dxa" w:w="2880"/>
          </w:tcPr>
          <w:p>
            <w:r>
              <w:t>Venue/location lookup, bounded response/error reads, and normal lookup failure semantics.</w:t>
            </w:r>
          </w:p>
        </w:tc>
      </w:tr>
      <w:tr>
        <w:tc>
          <w:tcPr>
            <w:tcW w:type="dxa" w:w="2880"/>
          </w:tcPr>
          <w:p>
            <w:r>
              <w:t>Volume identity and bootlist policy</w:t>
            </w:r>
          </w:p>
        </w:tc>
        <w:tc>
          <w:tcPr>
            <w:tcW w:type="dxa" w:w="2880"/>
          </w:tcPr>
          <w:p>
            <w:r>
              <w:t>tlo_volume_label.py / tlo_bootlist_volume_policy.py / tlo_postprocess.py</w:t>
            </w:r>
          </w:p>
        </w:tc>
        <w:tc>
          <w:tcPr>
            <w:tcW w:type="dxa" w:w="2880"/>
          </w:tcPr>
          <w:p>
            <w:r>
              <w:t>Visible-volume identity, rootless paths, path-scoped replacement, and re-inventory reconciliation.</w:t>
            </w:r>
          </w:p>
        </w:tc>
      </w:tr>
      <w:tr>
        <w:tc>
          <w:tcPr>
            <w:tcW w:type="dxa" w:w="2880"/>
          </w:tcPr>
          <w:p>
            <w:r>
              <w:t>Test suite architecture</w:t>
            </w:r>
          </w:p>
        </w:tc>
        <w:tc>
          <w:tcPr>
            <w:tcW w:type="dxa" w:w="2880"/>
          </w:tcPr>
          <w:p>
            <w:r>
              <w:t>tests/ / test_tlo_requirements.py / conftest.py</w:t>
            </w:r>
          </w:p>
        </w:tc>
        <w:tc>
          <w:tcPr>
            <w:tcW w:type="dxa" w:w="2880"/>
          </w:tcPr>
          <w:p>
            <w:r>
              <w:t>Categories, markers, Tk handling, integration scenarios, compatibility entry point, and current-release contracts.</w:t>
            </w:r>
          </w:p>
        </w:tc>
      </w:tr>
      <w:tr>
        <w:tc>
          <w:tcPr>
            <w:tcW w:type="dxa" w:w="2880"/>
          </w:tcPr>
          <w:p>
            <w:r>
              <w:t>Duplicate cleanup utility</w:t>
            </w:r>
          </w:p>
        </w:tc>
        <w:tc>
          <w:tcPr>
            <w:tcW w:type="dxa" w:w="2880"/>
          </w:tcPr>
          <w:p>
            <w:r>
              <w:t>tlo-deleteDupes.py</w:t>
            </w:r>
          </w:p>
        </w:tc>
        <w:tc>
          <w:tcPr>
            <w:tcW w:type="dxa" w:w="2880"/>
          </w:tcPr>
          <w:p>
            <w:r>
              <w:t>Duplicate clustering, tri-state FLAC validation/repair, holding-folder moves, and cancellation.</w:t>
            </w:r>
          </w:p>
        </w:tc>
      </w:tr>
      <w:tr>
        <w:tc>
          <w:tcPr>
            <w:tcW w:type="dxa" w:w="2880"/>
          </w:tcPr>
          <w:p>
            <w:r>
              <w:t>Research utility</w:t>
            </w:r>
          </w:p>
        </w:tc>
        <w:tc>
          <w:tcPr>
            <w:tcW w:type="dxa" w:w="2880"/>
          </w:tcPr>
          <w:p>
            <w:r>
              <w:t>tlo-research.py / tlo_research_lib.py</w:t>
            </w:r>
          </w:p>
        </w:tc>
        <w:tc>
          <w:tcPr>
            <w:tcW w:type="dxa" w:w="2880"/>
          </w:tcPr>
          <w:p>
            <w:r>
              <w:t>meta/comp search, raw evidence correlation, GUI integration, and CLI behavior.</w:t>
            </w:r>
          </w:p>
        </w:tc>
      </w:tr>
      <w:tr>
        <w:tc>
          <w:tcPr>
            <w:tcW w:type="dxa" w:w="2880"/>
          </w:tcPr>
          <w:p>
            <w:r>
              <w:t>Supplemental current requirements/revision index</w:t>
            </w:r>
          </w:p>
        </w:tc>
        <w:tc>
          <w:tcPr>
            <w:tcW w:type="dxa" w:w="2880"/>
          </w:tcPr>
          <w:p>
            <w:r>
              <w:t>Owning modules cited by Sections 1-19; Section 20 is historical navigation</w:t>
            </w:r>
          </w:p>
        </w:tc>
        <w:tc>
          <w:tcPr>
            <w:tcW w:type="dxa" w:w="2880"/>
          </w:tcPr>
          <w:p>
            <w:r>
              <w:t>Build history points to current normative sections instead of restating incremental rules.</w:t>
            </w:r>
          </w:p>
        </w:tc>
      </w:tr>
      <w:tr>
        <w:tc>
          <w:tcPr>
            <w:tcW w:type="dxa" w:w="2880"/>
          </w:tcPr>
          <w:p>
            <w:r>
              <w:t>REQ-COPY-001..005 / §14.6</w:t>
            </w:r>
          </w:p>
        </w:tc>
        <w:tc>
          <w:tcPr>
            <w:tcW w:type="dxa" w:w="2880"/>
          </w:tcPr>
          <w:p>
            <w:r>
              <w:t>tlo_copy_requests.py; tlo-main.py</w:t>
            </w:r>
          </w:p>
        </w:tc>
        <w:tc>
          <w:tcPr>
            <w:tcW w:type="dxa" w:w="2880"/>
          </w:tcPr>
          <w:p>
            <w:r>
              <w:t>Copy matching, locks, pending-state recovery, temp/verify/publish, cancellation; test_build507_review_remediation.py</w:t>
            </w:r>
          </w:p>
        </w:tc>
      </w:tr>
      <w:tr>
        <w:tc>
          <w:tcPr>
            <w:tcW w:type="dxa" w:w="2880"/>
          </w:tcPr>
          <w:p>
            <w:r>
              <w:t>REQ-ADDSHOW-DELETE-001..002 / §14.11</w:t>
            </w:r>
          </w:p>
        </w:tc>
        <w:tc>
          <w:tcPr>
            <w:tcW w:type="dxa" w:w="2880"/>
          </w:tcPr>
          <w:p>
            <w:r>
              <w:t>tlo_inventory_update.py; tlo-main.py</w:t>
            </w:r>
          </w:p>
        </w:tc>
        <w:tc>
          <w:tcPr>
            <w:tcW w:type="dxa" w:w="2880"/>
          </w:tcPr>
          <w:p>
            <w:r>
              <w:t>Canonical delete targets, session scripts, volume guards, UTF-8 batch setup; Build 507 remediation tests</w:t>
            </w:r>
          </w:p>
        </w:tc>
      </w:tr>
      <w:tr>
        <w:tc>
          <w:tcPr>
            <w:tcW w:type="dxa" w:w="2880"/>
          </w:tcPr>
          <w:p>
            <w:r>
              <w:t>REQ-NET-001..002 / §2.12</w:t>
            </w:r>
          </w:p>
        </w:tc>
        <w:tc>
          <w:tcPr>
            <w:tcW w:type="dxa" w:w="2880"/>
          </w:tcPr>
          <w:p>
            <w:r>
              <w:t>tlo_github_updates.py</w:t>
            </w:r>
          </w:p>
        </w:tc>
        <w:tc>
          <w:tcPr>
            <w:tcW w:type="dxa" w:w="2880"/>
          </w:tcPr>
          <w:p>
            <w:r>
              <w:t>Digest refusal, bounded download, ZIP path/type/expansion validation, authenticity boundary; Build 507 remediation tests</w:t>
            </w:r>
          </w:p>
        </w:tc>
      </w:tr>
      <w:tr>
        <w:tc>
          <w:tcPr>
            <w:tcW w:type="dxa" w:w="2880"/>
          </w:tcPr>
          <w:p>
            <w:r>
              <w:t>REQ-TEXT-001 / §16.1</w:t>
            </w:r>
          </w:p>
        </w:tc>
        <w:tc>
          <w:tcPr>
            <w:tcW w:type="dxa" w:w="2880"/>
          </w:tcPr>
          <w:p>
            <w:r>
              <w:t>tlo_text_utils.py</w:t>
            </w:r>
          </w:p>
        </w:tc>
        <w:tc>
          <w:tcPr>
            <w:tcW w:type="dxa" w:w="2880"/>
          </w:tcPr>
          <w:p>
            <w:r>
              <w:t>Bounded shared text reader and group-aware RTF; Build 507 remediation tests</w:t>
            </w:r>
          </w:p>
        </w:tc>
      </w:tr>
      <w:tr>
        <w:tc>
          <w:tcPr>
            <w:tcW w:type="dxa" w:w="2880"/>
          </w:tcPr>
          <w:p>
            <w:r>
              <w:t>REQ-WALK-001 / §3</w:t>
            </w:r>
          </w:p>
        </w:tc>
        <w:tc>
          <w:tcPr>
            <w:tcW w:type="dxa" w:w="2880"/>
          </w:tcPr>
          <w:p>
            <w:r>
              <w:t>initial_dir_walk_lib.py; tlo_path_policy.py</w:t>
            </w:r>
          </w:p>
        </w:tc>
        <w:tc>
          <w:tcPr>
            <w:tcW w:type="dxa" w:w="2880"/>
          </w:tcPr>
          <w:p>
            <w:r>
              <w:t>Shared OS/TLO temp pruning policy; Build 507 remediation tests</w:t>
            </w:r>
          </w:p>
        </w:tc>
      </w:tr>
      <w:tr>
        <w:tc>
          <w:tcPr>
            <w:tcW w:type="dxa" w:w="2880"/>
          </w:tcPr>
          <w:p>
            <w:r>
              <w:t>§14.7 Redundancy Groups</w:t>
            </w:r>
          </w:p>
        </w:tc>
        <w:tc>
          <w:tcPr>
            <w:tcW w:type="dxa" w:w="2880"/>
          </w:tcPr>
          <w:p>
            <w:r>
              <w:t>tlo_redundancy.py; tlo_copy_requests.py</w:t>
            </w:r>
          </w:p>
        </w:tc>
        <w:tc>
          <w:tcPr>
            <w:tcW w:type="dxa" w:w="2880"/>
          </w:tcPr>
          <w:p>
            <w:r>
              <w:t>Ordered equivalent-volume source precedence; test_build487_redundancy_groups.py</w:t>
            </w:r>
          </w:p>
        </w:tc>
      </w:tr>
      <w:tr>
        <w:tc>
          <w:tcPr>
            <w:tcW w:type="dxa" w:w="2880"/>
          </w:tcPr>
          <w:p>
            <w:r>
              <w:t>§14.5 Manual Updates</w:t>
            </w:r>
          </w:p>
        </w:tc>
        <w:tc>
          <w:tcPr>
            <w:tcW w:type="dxa" w:w="2880"/>
          </w:tcPr>
          <w:p>
            <w:r>
              <w:t>tlo_manual_updates.py; tlo-main.py</w:t>
            </w:r>
          </w:p>
        </w:tc>
        <w:tc>
          <w:tcPr>
            <w:tcW w:type="dxa" w:w="2880"/>
          </w:tcPr>
          <w:p>
            <w:r>
              <w:t>Inventory repair and optional tag update; Manual Updates behavior tests</w:t>
            </w:r>
          </w:p>
        </w:tc>
      </w:tr>
      <w:tr>
        <w:tc>
          <w:tcPr>
            <w:tcW w:type="dxa" w:w="2880"/>
          </w:tcPr>
          <w:p>
            <w:r>
              <w:t>§13 / Appendix I setlist.fm</w:t>
            </w:r>
          </w:p>
        </w:tc>
        <w:tc>
          <w:tcPr>
            <w:tcW w:type="dxa" w:w="2880"/>
          </w:tcPr>
          <w:p>
            <w:r>
              <w:t>tlo_setlistfm_lookup.py; tlo_options.py; tlo-main.py</w:t>
            </w:r>
          </w:p>
        </w:tc>
        <w:tc>
          <w:tcPr>
            <w:tcW w:type="dxa" w:w="2880"/>
          </w:tcPr>
          <w:p>
            <w:r>
              <w:t>Process-first key resolution, upgrade equality, malformed-key handling, throttling; Build 507 and prior setlist.fm tests</w:t>
            </w:r>
          </w:p>
        </w:tc>
      </w:tr>
      <w:tr>
        <w:tc>
          <w:tcPr>
            <w:tcW w:type="dxa" w:w="2880"/>
          </w:tcPr>
          <w:p>
            <w:r>
              <w:t>§16.1 shared decoding</w:t>
            </w:r>
          </w:p>
        </w:tc>
        <w:tc>
          <w:tcPr>
            <w:tcW w:type="dxa" w:w="2880"/>
          </w:tcPr>
          <w:p>
            <w:r>
              <w:t>tlo_text_utils.py; tlo_setlist_metadata_lookup.py</w:t>
            </w:r>
          </w:p>
        </w:tc>
        <w:tc>
          <w:tcPr>
            <w:tcW w:type="dxa" w:w="2880"/>
          </w:tcPr>
          <w:p>
            <w:r>
              <w:t>UTF-8/cp1252/UTF-16/RTF/DOCX decoding; Build 505-507 remediation tests</w:t>
            </w:r>
          </w:p>
        </w:tc>
      </w:tr>
      <w:tr>
        <w:tc>
          <w:tcPr>
            <w:tcW w:type="dxa" w:w="2880"/>
          </w:tcPr>
          <w:p>
            <w:r>
              <w:t>Tree verification</w:t>
            </w:r>
          </w:p>
        </w:tc>
        <w:tc>
          <w:tcPr>
            <w:tcW w:type="dxa" w:w="2880"/>
          </w:tcPr>
          <w:p>
            <w:r>
              <w:t>tlo_tree_compare.py</w:t>
            </w:r>
          </w:p>
        </w:tc>
        <w:tc>
          <w:tcPr>
            <w:tcW w:type="dxa" w:w="2880"/>
          </w:tcPr>
          <w:p>
            <w:r>
              <w:t>Fail-closed exact tree verification; Build 505 review remediation tests</w:t>
            </w:r>
          </w:p>
        </w:tc>
      </w:tr>
    </w:tbl>
    <w:p>
      <w:pPr>
        <w:pStyle w:val="Heading1"/>
        <w:rPr/>
      </w:pPr>
      <w:r>
        <w:t>Appendix B - Open Issues and Future Clarifications</w:t>
      </w:r>
    </w:p>
    <w:p>
      <w:pPr>
        <w:pStyle w:val="Heading1"/>
      </w:pPr>
      <w:r>
        <w:t>Appendix C - Retired (historical marker)</w:t>
      </w:r>
    </w:p>
    <w:p>
      <w:pPr>
        <w:rPr/>
      </w:pPr>
      <w:r>
        <w:t>Retired appendix. Its former decisions were incorporated into the normative requirements. This section is retained as an explicit historical marker rather than leaving a missing appendix letter.</w:t>
      </w:r>
    </w:p>
    <w:p>
      <w:pPr>
        <w:pStyle w:val="Heading2"/>
      </w:pPr>
      <w:r>
        <w:t>B1. Open audit findings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Title</w:t>
            </w:r>
          </w:p>
        </w:tc>
        <w:tc>
          <w:tcPr>
            <w:tcW w:type="dxa" w:w="2160"/>
          </w:tcPr>
          <w:p>
            <w:r>
              <w:t>Risk / current limitation</w:t>
            </w:r>
          </w:p>
        </w:tc>
        <w:tc>
          <w:tcPr>
            <w:tcW w:type="dxa" w:w="2160"/>
          </w:tcPr>
          <w:p>
            <w:r>
              <w:t>Target</w:t>
            </w:r>
          </w:p>
        </w:tc>
      </w:tr>
      <w:tr>
        <w:tc>
          <w:tcPr>
            <w:tcW w:type="dxa" w:w="2160"/>
          </w:tcPr>
          <w:p>
            <w:r>
              <w:t>IA-05</w:t>
            </w:r>
          </w:p>
        </w:tc>
        <w:tc>
          <w:tcPr>
            <w:tcW w:type="dxa" w:w="2160"/>
          </w:tcPr>
          <w:p>
            <w:r>
              <w:t>First-install/bootstrap authenticity and update-key rotation</w:t>
            </w:r>
          </w:p>
        </w:tc>
        <w:tc>
          <w:tcPr>
            <w:tcW w:type="dxa" w:w="2160"/>
          </w:tcPr>
          <w:p>
            <w:r>
              <w:t>First-install bootstrap/key rotation remain unresolved. Schema 1 has no signed issuance/expiry or minimum-build revocation control, permitting replay/freeze if release publication is compromised.</w:t>
            </w:r>
          </w:p>
        </w:tc>
        <w:tc>
          <w:tcPr>
            <w:tcW w:type="dxa" w:w="2160"/>
          </w:tcPr>
          <w:p>
            <w:r>
              <w:t>Deferred: schema 2 with signed issued_utc, expires_utc, and minimum_acceptable_build plus a documented bootstrap/key-rotation procedure.</w:t>
            </w:r>
          </w:p>
        </w:tc>
      </w:tr>
    </w:tbl>
    <w:p>
      <w:pPr>
        <w:pStyle w:val="ListBullet"/>
      </w:pPr>
      <w:r>
        <w:t>IA-05 remains deferred. Build 548 makes the open risk and target design explicit; it does not change the updater or schema-1 trust semantics.</w:t>
      </w:r>
    </w:p>
    <w:p>
      <w:pPr>
        <w:pStyle w:val="Normal"/>
        <w:rPr/>
      </w:pPr>
      <w:r>
        <w:t>The ambiguity decisions in Appendix D are incorporated into the main requirements. The remaining future clarification items are listed here.</w:t>
      </w:r>
    </w:p>
    <w:p>
      <w:pPr>
        <w:pStyle w:val="ListBullet"/>
        <w:numPr>
          <w:ilvl w:val="0"/>
          <w:numId w:val="1"/>
        </w:numPr>
        <w:rPr/>
      </w:pPr>
      <w:r>
        <w:t>Further broad compliant-mode String2 venue/location inference remains a future clarification item. Only the narrow String1 - String2 Date boundary refinement is currently defined: after String1 Date String2 fails, one complete date at the beginning or end of String2 may be separated into Date while the remaining String2 stays raw show-name / venue-album text unless eTreeDB lookup succeeds. Bare years, ranges, partial dates, and middle-of-String2 dates are not part of this refinement. This deferred item is tracked here rather than in Appendix D, which is limited to resolved ambiguity decisions.</w:t>
      </w:r>
    </w:p>
    <w:p>
      <w:pPr>
        <w:pStyle w:val="ListBullet"/>
        <w:numPr>
          <w:ilvl w:val="0"/>
          <w:numId w:val="1"/>
        </w:numPr>
        <w:rPr/>
      </w:pPr>
      <w:r>
        <w:t>Path-alias limitations are specified in Section 2.6 and should be referenced from the user guide rather than restated here.</w:t>
      </w:r>
    </w:p>
    <w:p>
      <w:pPr>
        <w:pStyle w:val="ListBullet"/>
        <w:numPr>
          <w:ilvl w:val="0"/>
          <w:numId w:val="1"/>
        </w:numPr>
        <w:rPr/>
      </w:pPr>
      <w:r>
        <w:t>The TLO Search, Artist DB Search, and Research apps are included in the source bundle and complete platform distributions. Current collection-search behavior is normative in Section 14.8; Artist DB Search behavior is normative in Section 14.9; Research log lookup behavior is specified in Section 19.</w:t>
      </w:r>
    </w:p>
    <w:p>
      <w:pPr>
        <w:pStyle w:val="Heading1"/>
        <w:rPr/>
      </w:pPr>
      <w:r>
        <w:t>Appendix D - Ambiguity Review and Clarifications</w:t>
      </w:r>
    </w:p>
    <w:p>
      <w:pPr>
        <w:pStyle w:val="Heading2"/>
        <w:rPr/>
      </w:pPr>
      <w:r>
        <w:t>D1. Music file definition</w:t>
      </w:r>
    </w:p>
    <w:p>
      <w:pPr>
        <w:pStyle w:val="Normal"/>
        <w:rPr/>
      </w:pPr>
      <w:r>
        <w:t>Definition of "music file" is left as-is and is not considered a conflict. The current searched extensions are listed in Appendix E1 for user review.</w:t>
      </w:r>
    </w:p>
    <w:p>
      <w:pPr>
        <w:pStyle w:val="Heading2"/>
        <w:rPr/>
      </w:pPr>
      <w:r>
        <w:t>D2. Search path overlap normalization</w:t>
      </w:r>
    </w:p>
    <w:p>
      <w:pPr>
        <w:pStyle w:val="Normal"/>
        <w:rPr/>
      </w:pPr>
      <w:r>
        <w:t>Resolved. Duplicate and nested-root handling, including the user-guide warning for symlinks, junctions, mount aliases, and case-equivalent paths, is canonical in Section 2.6.</w:t>
      </w:r>
    </w:p>
    <w:p>
      <w:pPr>
        <w:pStyle w:val="Heading2"/>
        <w:rPr/>
      </w:pPr>
      <w:r>
        <w:t>D3. Tag artist vs path artist disagreement</w:t>
      </w:r>
    </w:p>
    <w:p>
      <w:pPr>
        <w:pStyle w:val="Normal"/>
        <w:rPr/>
      </w:pPr>
      <w:r>
        <w:t>Resolved for non-compliant mode. Canonical artist-source precedence is defined in Section 4.1. A sampled FLAC/MP3 tag artist that resolves unambiguously in the Artist DB remains a DB-backed candidate, but the audio-tag tier is evaluated only after /slam, strong path/folder/commercial evidence, structured selected-setlist Artist metadata, and selected-setlist-filename evidence. A candidate sampled-audio tag artist that does not resolve in the Artist DB is deferred and may be used only as the final raw-tag fallback. This prevents track-title/date-like tag values such as "01 - Introduction - WMMS" or "1976-05" from overriding stronger artist evidence. Compliant-mode audio-tag exclusion is defined in Section 8.</w:t>
      </w:r>
    </w:p>
    <w:p>
      <w:pPr>
        <w:pStyle w:val="Heading2"/>
        <w:rPr/>
      </w:pPr>
      <w:r>
        <w:t>D4. Date conflict vs unresolved handling</w:t>
      </w:r>
    </w:p>
    <w:p>
      <w:pPr>
        <w:pStyle w:val="Normal"/>
        <w:rPr/>
      </w:pPr>
      <w:r>
        <w:t>Resolved. Adopt the date conflict and missing-date outcome table in Section 10.1.</w:t>
      </w:r>
    </w:p>
    <w:p>
      <w:pPr>
        <w:pStyle w:val="Heading2"/>
        <w:rPr/>
      </w:pPr>
      <w:r>
        <w:t>D5. Multiple parentheticals</w:t>
      </w:r>
    </w:p>
    <w:p>
      <w:pPr>
        <w:pStyle w:val="Normal"/>
        <w:rPr/>
      </w:pPr>
      <w:r>
        <w:t>Resolved. Multiple trailing parentheticals are always maintained in their original left-to-right order, stored as a single PARENTHETICALS string separated by one space, and appended to show names and generated filename bases in that order.</w:t>
      </w:r>
    </w:p>
    <w:p>
      <w:pPr>
        <w:pStyle w:val="Heading2"/>
        <w:rPr/>
      </w:pPr>
      <w:r>
        <w:t>D6. Completion reporting lines</w:t>
      </w:r>
    </w:p>
    <w:p>
      <w:pPr>
        <w:pStyle w:val="Normal"/>
        <w:rPr/>
      </w:pPr>
      <w:r>
        <w:t>Resolved. The exact lines in use are specified in Sections 2.7 and 2.8.</w:t>
      </w:r>
    </w:p>
    <w:p>
      <w:pPr>
        <w:pStyle w:val="Heading2"/>
        <w:rPr/>
      </w:pPr>
      <w:r>
        <w:t>D7. GUI Quit behavior</w:t>
      </w:r>
    </w:p>
    <w:p>
      <w:pPr>
        <w:pStyle w:val="Normal"/>
        <w:rPr/>
      </w:pPr>
      <w:r>
        <w:t>Resolved. The three-state GUI Quit behavior is canonical in Section 15. Appendix D records only the ambiguity disposition.</w:t>
      </w:r>
    </w:p>
    <w:p>
      <w:pPr>
        <w:pStyle w:val="Heading2"/>
        <w:rPr/>
      </w:pPr>
      <w:r>
        <w:t>D8. Wrapper directory definition</w:t>
      </w:r>
    </w:p>
    <w:p>
      <w:pPr>
        <w:pStyle w:val="Normal"/>
        <w:rPr/>
      </w:pPr>
      <w:r>
        <w:t>Resolved by full extraction from the code bundle used for this document. The authoritative wrapper, non-main-directory, containment, weak-suffix, four-digit wrapper, and Phase 2/3 wrapper-segment definitions are listed in Appendix E2.</w:t>
      </w:r>
    </w:p>
    <w:p>
      <w:pPr>
        <w:pStyle w:val="Heading2"/>
        <w:rPr/>
      </w:pPr>
      <w:r>
        <w:t>D9. Artist abbreviation detection timing</w:t>
      </w:r>
    </w:p>
    <w:p>
      <w:pPr>
        <w:pStyle w:val="Normal"/>
        <w:rPr/>
      </w:pPr>
      <w:r>
        <w:t>Resolved. Artist abbreviation detection timing and outcomes are specified in Section 7.5.</w:t>
      </w:r>
    </w:p>
    <w:p>
      <w:pPr>
        <w:pStyle w:val="Heading1"/>
        <w:rPr/>
      </w:pPr>
      <w:r>
        <w:t>Appendix E - Code-Derived Lists and Enumerations</w:t>
      </w:r>
    </w:p>
    <w:p>
      <w:pPr>
        <w:pStyle w:val="Normal"/>
        <w:rPr/>
      </w:pPr>
      <w:r>
        <w:t>This appendix contains static lists, pattern lists, mappings, and enumerations extracted from the supplied code bundle for this document. Regex patterns are shown literally because they are implementation rules, not prose examples.</w:t>
      </w:r>
    </w:p>
    <w:p>
      <w:pPr>
        <w:pStyle w:val="Heading2"/>
        <w:rPr/>
      </w:pPr>
      <w:r>
        <w:t>E1. File Types and File-Name Related Lists</w:t>
      </w:r>
    </w:p>
    <w:p>
      <w:pPr>
        <w:pStyle w:val="Heading3"/>
        <w:rPr/>
      </w:pPr>
      <w:r>
        <w:t>Music/media extensions used for music-file detection</w:t>
      </w:r>
    </w:p>
    <w:p>
      <w:pPr>
        <w:pStyle w:val="Normal"/>
        <w:rPr/>
      </w:pPr>
      <w:r>
        <w:t>.3gp, .aac, .aif, .aiff, .alac, .ape, .avi, .flac, .flv, .m2ts, .m4a, .m4v, .mkv, .mov, .mp3, .mp4, .mpeg, .mpg, .oga, .ogg, .opus, .shn, .shnf, .ts, .vob, .wav, .webm, .wmv, .wv</w:t>
      </w:r>
    </w:p>
    <w:p>
      <w:pPr>
        <w:pStyle w:val="Heading3"/>
        <w:rPr/>
      </w:pPr>
      <w:r>
        <w:t>Sampled audio tag-reader extensions</w:t>
      </w:r>
    </w:p>
    <w:p>
      <w:pPr>
        <w:pStyle w:val="Normal"/>
        <w:rPr/>
      </w:pPr>
      <w:r>
        <w:t>The current inventory metadata tag reader samples tags only from these extensions in non-compliant mode, and non-compliant mode runs those tag checks regardless of Performance Mode. Unsupported audio formats are skipped while selecting up to two samples. See Section 8 for compliant-mode FLAC/MP3 tag exclusion.</w:t>
      </w:r>
    </w:p>
    <w:p>
      <w:pPr>
        <w:pStyle w:val="Normal"/>
        <w:rPr/>
      </w:pPr>
      <w:r>
        <w:t>.flac, .mp3</w:t>
      </w:r>
    </w:p>
    <w:p>
      <w:pPr>
        <w:pStyle w:val="Heading3"/>
        <w:rPr/>
      </w:pPr>
      <w:r>
        <w:t>Sampled audio tag fields read into metadata samples</w:t>
      </w:r>
    </w:p>
    <w:p>
      <w:pPr>
        <w:pStyle w:val="Normal"/>
        <w:rPr/>
      </w:pPr>
      <w:r>
        <w:t>artist, album, albumartist, date (non-compliant mode only; never sampled, logged, or used in compliant mode)</w:t>
      </w:r>
    </w:p>
    <w:p>
      <w:pPr>
        <w:pStyle w:val="Heading3"/>
        <w:rPr/>
      </w:pPr>
      <w:r>
        <w:t>Postprocess/setlist filename constants</w:t>
      </w:r>
    </w:p>
    <w:p>
      <w:pPr>
        <w:pStyle w:val="Normal"/>
        <w:rPr/>
      </w:pPr>
      <w:r>
        <w:t>Setlist output filename base rule: concatenate Artist + Date + Venue + Location + Parentheticals for normal dated records. Remove all characters except letters, numbers, and parentheses from Artist, Venue, Location, Parentheticals, and ordinary fallback text; preserve dashes inside normalized Date values. For String1 - String2 records with no parsed Date, preserve the artist/String2 separator and preserve dashes inside a date-like String2 value.</w:t>
      </w:r>
    </w:p>
    <w:p>
      <w:pPr>
        <w:pStyle w:val="Normal"/>
        <w:rPr/>
      </w:pPr>
      <w:r>
        <w:t>Normalize compact and separated date tokens before stripping filename characters. Examples: IrisDement-19981003 becomes IrisDement-1998-10-03; KarlDensonsTinyUniverse-20020810 becomes KarlDensonsTinyUniverse-2002-08-10; and increasing compact year ranges such as 19961998 become 1996-1998. Decreasing compact ranges such as 19981997 must not be normalized as dates. For literal String1 - String2 show forms where String2 is date-like, preserve the separator and the normalized date dashes: Iris Dement - 1998-10-03 becomes IrisDement-1998-10-03, and KDTU - 2002-08-10 becomes KarlDensonsTinyUniverse-2002-08-10 when the artist is resolved to that master name.</w:t>
      </w:r>
    </w:p>
    <w:p>
      <w:pPr>
        <w:pStyle w:val="Normal"/>
        <w:rPr/>
      </w:pPr>
      <w:r>
        <w:t>SETLIST_EXTENSION = .txt for exported/generated setlists. Source setlist candidates may include .txt plus supported rich-text/word-processing exceptions .rtf and .docx when they satisfy the same setlist naming, housekeeping rejection, and readable-text checks. Legacy binary .doc filenames may be recognized for diagnostics, but .doc content is unsupported and is not decoded as readable setlist text.</w:t>
      </w:r>
    </w:p>
    <w:p>
      <w:pPr>
        <w:pStyle w:val="Heading2"/>
        <w:rPr/>
      </w:pPr>
      <w:r>
        <w:t>E2. Phase 1 Directory Pruning and Wrapper Detection</w:t>
      </w:r>
    </w:p>
    <w:p>
      <w:pPr/>
      <w:r>
        <w:t>The authoritative OS-managed directory names and TLO temporary prefixes are defined in tlo_path_policy.OS_MANAGED_DIR_NAMES and tlo_path_policy.TLO_TEMP_DIR_PREFIXES. Appendix examples are descriptive and must be regenerated/reconciled whenever those constants change.</w:t>
      </w:r>
    </w:p>
    <w:p>
      <w:pPr>
        <w:pStyle w:val="Heading3"/>
        <w:rPr/>
      </w:pPr>
      <w:r>
        <w:t>Directory names pruned during Phase 1 tree walk</w:t>
      </w:r>
    </w:p>
    <w:p>
      <w:pPr>
        <w:pStyle w:val="Normal"/>
        <w:rPr/>
      </w:pPr>
      <w:r>
        <w:t>directories ending in -ignoreDir, $RECYCLE.BIN, System Volume Information</w:t>
      </w:r>
    </w:p>
    <w:p>
      <w:pPr>
        <w:pStyle w:val="Heading3"/>
        <w:rPr/>
      </w:pPr>
      <w:r>
        <w:t>Exact wrapper directory patterns</w:t>
      </w:r>
    </w:p>
    <w:p>
      <w:pPr>
        <w:pStyle w:val="Normal"/>
        <w:rPr/>
      </w:pPr>
      <w:r>
        <w:t>^music$</w:t>
      </w:r>
    </w:p>
    <w:p>
      <w:pPr>
        <w:pStyle w:val="Normal"/>
        <w:rPr/>
      </w:pPr>
      <w:r>
        <w:t>^audio$</w:t>
      </w:r>
    </w:p>
    <w:p>
      <w:pPr>
        <w:pStyle w:val="Normal"/>
        <w:rPr/>
      </w:pPr>
      <w:r>
        <w:t>^tunes$</w:t>
      </w:r>
    </w:p>
    <w:p>
      <w:pPr>
        <w:pStyle w:val="Normal"/>
        <w:rPr/>
      </w:pPr>
      <w:r>
        <w:t>^aud$</w:t>
      </w:r>
    </w:p>
    <w:p>
      <w:pPr>
        <w:pStyle w:val="Normal"/>
        <w:rPr/>
      </w:pPr>
      <w:r>
        <w:t>^sbd$</w:t>
      </w:r>
    </w:p>
    <w:p>
      <w:pPr>
        <w:pStyle w:val="Normal"/>
        <w:rPr/>
      </w:pPr>
      <w:r>
        <w:t>^flac$</w:t>
      </w:r>
    </w:p>
    <w:p>
      <w:pPr>
        <w:pStyle w:val="Normal"/>
        <w:rPr/>
      </w:pPr>
      <w:r>
        <w:t>^flacs$</w:t>
      </w:r>
    </w:p>
    <w:p>
      <w:pPr>
        <w:pStyle w:val="Normal"/>
        <w:rPr/>
      </w:pPr>
      <w:r>
        <w:t>^flac files$</w:t>
      </w:r>
    </w:p>
    <w:p>
      <w:pPr>
        <w:pStyle w:val="Normal"/>
        <w:rPr/>
      </w:pPr>
      <w:r>
        <w:t>^shn$</w:t>
      </w:r>
    </w:p>
    <w:p>
      <w:pPr>
        <w:pStyle w:val="Normal"/>
        <w:rPr/>
      </w:pPr>
      <w:r>
        <w:t>^shns$</w:t>
      </w:r>
    </w:p>
    <w:p>
      <w:pPr>
        <w:pStyle w:val="Normal"/>
        <w:rPr/>
      </w:pPr>
      <w:r>
        <w:t>^mp3$</w:t>
      </w:r>
    </w:p>
    <w:p>
      <w:pPr>
        <w:pStyle w:val="Normal"/>
        <w:rPr/>
      </w:pPr>
      <w:r>
        <w:t>^unknown artist$</w:t>
      </w:r>
    </w:p>
    <w:p>
      <w:pPr>
        <w:pStyle w:val="Normal"/>
        <w:rPr/>
      </w:pPr>
      <w:r>
        <w:t>^full-length tracks$</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^video$</w:t>
      </w:r>
    </w:p>
    <w:p>
      <w:pPr>
        <w:pStyle w:val="Normal"/>
        <w:rPr/>
      </w:pPr>
      <w:r>
        <w:t>^dvd$</w:t>
      </w:r>
    </w:p>
    <w:p>
      <w:pPr>
        <w:pStyle w:val="Normal"/>
        <w:rPr/>
      </w:pPr>
      <w:r>
        <w:t>^bluray$</w:t>
      </w:r>
    </w:p>
    <w:p>
      <w:pPr>
        <w:pStyle w:val="Normal"/>
        <w:rPr/>
      </w:pPr>
      <w:r>
        <w:t>^blu[\s._-]*ray$</w:t>
      </w:r>
    </w:p>
    <w:p>
      <w:pPr>
        <w:pStyle w:val="Normal"/>
        <w:rPr/>
      </w:pPr>
      <w:r>
        <w:t>^fm\s*broadcast$</w:t>
      </w:r>
    </w:p>
    <w:p>
      <w:pPr>
        <w:pStyle w:val="Normal"/>
        <w:rPr/>
      </w:pPr>
      <w:r>
        <w:t>^soundboard$</w:t>
      </w:r>
    </w:p>
    <w:p>
      <w:pPr>
        <w:pStyle w:val="Normal"/>
        <w:rPr/>
      </w:pPr>
      <w:r>
        <w:t>^flacs?\s*and\s*checks?$</w:t>
      </w:r>
    </w:p>
    <w:p>
      <w:pPr>
        <w:pStyle w:val="Normal"/>
        <w:rPr/>
      </w:pPr>
      <w:r>
        <w:t>^volume\s+\d{1,2}$</w:t>
      </w:r>
    </w:p>
    <w:p>
      <w:pPr>
        <w:pStyle w:val="Normal"/>
        <w:rPr/>
      </w:pPr>
      <w:r>
        <w:t>^disc\s+\d{1,2}\s+flac$</w:t>
      </w:r>
    </w:p>
    <w:p>
      <w:pPr>
        <w:pStyle w:val="Normal"/>
        <w:rPr/>
      </w:pPr>
      <w:r>
        <w:t>^disk\s+\d{1,2}\s+flac$</w:t>
      </w:r>
    </w:p>
    <w:p>
      <w:pPr>
        <w:pStyle w:val="Normal"/>
        <w:rPr/>
      </w:pPr>
      <w:r>
        <w:t>^disco\s*\d{1,2}$</w:t>
      </w:r>
    </w:p>
    <w:p>
      <w:pPr>
        <w:pStyle w:val="Normal"/>
        <w:rPr/>
      </w:pPr>
      <w:r>
        <w:t>^cd\s+\d{1,2}.*$</w:t>
      </w:r>
    </w:p>
    <w:p>
      <w:pPr>
        <w:pStyle w:val="Heading3"/>
        <w:rPr/>
      </w:pPr>
      <w:r>
        <w:t>Wrapper-term containment patterns</w:t>
      </w:r>
    </w:p>
    <w:p>
      <w:pPr>
        <w:pStyle w:val="Normal"/>
        <w:rPr/>
      </w:pPr>
      <w:r>
        <w:t>unknown artist</w:t>
      </w:r>
    </w:p>
    <w:p>
      <w:pPr>
        <w:pStyle w:val="Normal"/>
        <w:rPr/>
      </w:pPr>
      <w:r>
        <w:t>fm\s*broadcast</w:t>
      </w:r>
    </w:p>
    <w:p>
      <w:pPr>
        <w:pStyle w:val="Normal"/>
        <w:rPr/>
      </w:pPr>
      <w:r>
        <w:t>soundboard</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bluray</w:t>
      </w:r>
    </w:p>
    <w:p>
      <w:pPr>
        <w:pStyle w:val="Normal"/>
        <w:rPr/>
      </w:pPr>
      <w:r>
        <w:t>blu[\s._-]*ray</w:t>
      </w:r>
    </w:p>
    <w:p>
      <w:pPr>
        <w:pStyle w:val="Normal"/>
        <w:rPr/>
      </w:pPr>
      <w:r>
        <w:t>\bflac\b</w:t>
      </w:r>
    </w:p>
    <w:p>
      <w:pPr>
        <w:pStyle w:val="Normal"/>
        <w:rPr/>
      </w:pPr>
      <w:r>
        <w:t>\bflacs\b</w:t>
      </w:r>
    </w:p>
    <w:p>
      <w:pPr>
        <w:pStyle w:val="Normal"/>
        <w:rPr/>
      </w:pPr>
      <w:r>
        <w:t>\baudio\b</w:t>
      </w:r>
    </w:p>
    <w:p>
      <w:pPr>
        <w:pStyle w:val="Normal"/>
        <w:rPr/>
      </w:pPr>
      <w:r>
        <w:t>\bvideo\b</w:t>
      </w:r>
    </w:p>
    <w:p>
      <w:pPr>
        <w:pStyle w:val="Normal"/>
        <w:rPr/>
      </w:pPr>
      <w:r>
        <w:t>\btunes\b</w:t>
      </w:r>
    </w:p>
    <w:p>
      <w:pPr>
        <w:pStyle w:val="Normal"/>
        <w:rPr/>
      </w:pPr>
      <w:r>
        <w:t>\bchecks?\b</w:t>
      </w:r>
    </w:p>
    <w:p>
      <w:pPr>
        <w:pStyle w:val="Normal"/>
        <w:rPr/>
      </w:pPr>
      <w:r>
        <w:t>\bvolume\s+\d{1,2}\b</w:t>
      </w:r>
    </w:p>
    <w:p>
      <w:pPr>
        <w:pStyle w:val="Normal"/>
        <w:rPr/>
      </w:pPr>
      <w:r>
        <w:t>\bdisc\s+\d{1,2}\b</w:t>
      </w:r>
    </w:p>
    <w:p>
      <w:pPr>
        <w:pStyle w:val="Normal"/>
        <w:rPr/>
      </w:pPr>
      <w:r>
        <w:t>\bdisk\s+\d{1,2}\b</w:t>
      </w:r>
    </w:p>
    <w:p>
      <w:pPr>
        <w:pStyle w:val="Normal"/>
        <w:rPr/>
      </w:pPr>
      <w:r>
        <w:t>\bcd\s+\d{1,2}\b</w:t>
      </w:r>
    </w:p>
    <w:p>
      <w:pPr>
        <w:pStyle w:val="Heading3"/>
        <w:rPr/>
      </w:pPr>
      <w:r>
        <w:t>Non-main-directory / volume-part patterns</w:t>
      </w:r>
    </w:p>
    <w:p>
      <w:pPr>
        <w:pStyle w:val="Normal"/>
        <w:rPr/>
      </w:pPr>
      <w:r>
        <w:t>^[\[\(_][\s.\-_]*(disc|disk|cd|pt\.|pt|part|set|side|tape)[\s.\-_]*\d{1,2}[\s.\-_]*[\]\)_]$</w:t>
      </w:r>
    </w:p>
    <w:p>
      <w:pPr>
        <w:pStyle w:val="Normal"/>
        <w:rPr/>
      </w:pPr>
      <w:r>
        <w:t>^(disc|disk|cd|pt\.|pt|lp|set|side)[\s.\-_]*(\d{1,2}|iii|ii|i|one|two|a|b)$</w:t>
      </w:r>
    </w:p>
    <w:p>
      <w:pPr>
        <w:pStyle w:val="Normal"/>
        <w:rPr/>
      </w:pPr>
      <w:r>
        <w:t>^[\[\(_][\s.\-_]*d[\s.\-_]*[012]?[0-9][\s.\-_]*[\]\)_]$</w:t>
      </w:r>
    </w:p>
    <w:p>
      <w:pPr>
        <w:pStyle w:val="Normal"/>
        <w:rPr/>
      </w:pPr>
      <w:r>
        <w:t>^d[\s.\-_]*\d{1,2}[\s.\-_]*(aud|sbd)?[\s.\-_]*(flacs|flac|shns|shnf|shn|master)?$</w:t>
      </w:r>
    </w:p>
    <w:p>
      <w:pPr>
        <w:pStyle w:val="Normal"/>
        <w:rPr/>
      </w:pPr>
      <w:r>
        <w:t>^[\[\(]?[\s.\-_]*(1st|first|2nd|second|acoustic|electric|afternoon|evening)[\s.\-_]*(set|show|side|cd|disc|disk)[\s.\-_]*[\]\)]?$</w:t>
      </w:r>
    </w:p>
    <w:p>
      <w:pPr>
        <w:pStyle w:val="Normal"/>
        <w:rPr/>
      </w:pPr>
      <w:r>
        <w:t>^d[\s.\-_]*\d{1,2}$</w:t>
      </w:r>
    </w:p>
    <w:p>
      <w:pPr>
        <w:pStyle w:val="Normal"/>
        <w:rPr/>
      </w:pPr>
      <w:r>
        <w:t>^#(\s?|.\-|_)\d{1,2}$</w:t>
      </w:r>
    </w:p>
    <w:p>
      <w:pPr>
        <w:pStyle w:val="Heading3"/>
        <w:rPr/>
      </w:pPr>
      <w:r>
        <w:t>Weak suffix patterns stripped from candidate main directories</w:t>
      </w:r>
    </w:p>
    <w:p>
      <w:pPr>
        <w:pStyle w:val="Normal"/>
        <w:rPr/>
      </w:pPr>
      <w:r>
        <w:t>(?:^|[\s._-])(disc|disk|cd|set|side|part|pt)\s*\d{1,2}$</w:t>
      </w:r>
    </w:p>
    <w:p>
      <w:pPr>
        <w:pStyle w:val="Normal"/>
        <w:rPr/>
      </w:pPr>
      <w:r>
        <w:t>(?:^|[\s._-])d\s*\d{1,2}$</w:t>
      </w:r>
    </w:p>
    <w:p>
      <w:pPr>
        <w:pStyle w:val="Heading3"/>
        <w:rPr/>
      </w:pPr>
      <w:r>
        <w:t>Four-digit wrapper rule</w:t>
      </w:r>
    </w:p>
    <w:p>
      <w:pPr>
        <w:pStyle w:val="Normal"/>
        <w:rPr/>
      </w:pPr>
      <w:r>
        <w:t>^\d{4}$</w:t>
      </w:r>
    </w:p>
    <w:p>
      <w:pPr>
        <w:pStyle w:val="Heading3"/>
        <w:rPr/>
      </w:pPr>
      <w:r>
        <w:t>Phase 2/3 wrapper-segment regex</w:t>
      </w:r>
    </w:p>
    <w:p>
      <w:pPr>
        <w:pStyle w:val="Normal"/>
        <w:rPr/>
      </w:pPr>
      <w:r>
        <w:t>(?i)^(?:disc|disk|cd|set|side|part|pt)\s*[a-z0-9]{0,3}$|^d\s*\d{1,2}$|^\d{4}$|^(?:audio|music|flac|flacs|shn|shns|aud|sbd|video|unknown artist)$</w:t>
      </w:r>
    </w:p>
    <w:p>
      <w:pPr>
        <w:pStyle w:val="Heading2"/>
        <w:rPr/>
      </w:pPr>
      <w:r>
        <w:t>E3. Setlist Identification, Housekeeping, and Checksum Lists</w:t>
      </w:r>
    </w:p>
    <w:p>
      <w:pPr>
        <w:pStyle w:val="Normal"/>
        <w:rPr/>
      </w:pPr>
      <w:r>
        <w:t>Generated setlist content is defined canonically in Section 1.3. This appendix does not restate the first-line, metadata-line, TRACKS heading, title-derivation, or ordering rules.</w:t>
      </w:r>
    </w:p>
    <w:p>
      <w:pPr>
        <w:pStyle w:val="Heading3"/>
        <w:rPr/>
      </w:pPr>
      <w:r>
        <w:t>Setlist candidate filename patterns</w:t>
      </w:r>
    </w:p>
    <w:p>
      <w:pPr>
        <w:pStyle w:val="Normal"/>
        <w:rPr/>
      </w:pPr>
      <w:r>
        <w:t>set[\s._-]*list</w:t>
      </w:r>
    </w:p>
    <w:p>
      <w:pPr>
        <w:pStyle w:val="Normal"/>
        <w:rPr/>
      </w:pPr>
      <w:r>
        <w:t>info</w:t>
      </w:r>
    </w:p>
    <w:p>
      <w:pPr>
        <w:pStyle w:val="Normal"/>
        <w:rPr/>
      </w:pPr>
      <w:r>
        <w:t>notes?</w:t>
      </w:r>
    </w:p>
    <w:p>
      <w:pPr>
        <w:pStyle w:val="Normal"/>
        <w:rPr/>
      </w:pPr>
      <w:r>
        <w:t>read[\s._-]*me</w:t>
      </w:r>
    </w:p>
    <w:p>
      <w:pPr>
        <w:pStyle w:val="Normal"/>
        <w:rPr/>
      </w:pPr>
      <w:r>
        <w:t>track</w:t>
      </w:r>
    </w:p>
    <w:p>
      <w:pPr>
        <w:pStyle w:val="Normal"/>
        <w:rPr/>
      </w:pPr>
      <w:r>
        <w:t>song</w:t>
      </w:r>
    </w:p>
    <w:p>
      <w:pPr>
        <w:pStyle w:val="Heading3"/>
        <w:rPr/>
      </w:pPr>
      <w:r>
        <w:t>Housekeeping filename patterns rejected as setlists</w:t>
      </w:r>
    </w:p>
    <w:p>
      <w:pPr>
        <w:pStyle w:val="Normal"/>
        <w:rPr/>
      </w:pPr>
      <w:r>
        <w:t>\bmd5\b</w:t>
      </w:r>
    </w:p>
    <w:p>
      <w:pPr>
        <w:pStyle w:val="Normal"/>
        <w:rPr/>
      </w:pPr>
      <w:r>
        <w:t>\bffp\b</w:t>
      </w:r>
    </w:p>
    <w:p>
      <w:pPr>
        <w:pStyle w:val="Normal"/>
        <w:rPr/>
      </w:pPr>
      <w:r>
        <w:t>\bfpt\b</w:t>
      </w:r>
    </w:p>
    <w:p>
      <w:pPr>
        <w:pStyle w:val="Normal"/>
        <w:rPr/>
      </w:pPr>
      <w:r>
        <w:t>\bsfv\b</w:t>
      </w:r>
    </w:p>
    <w:p>
      <w:pPr>
        <w:pStyle w:val="Normal"/>
        <w:rPr/>
      </w:pPr>
      <w:r>
        <w:t>checksum</w:t>
      </w:r>
    </w:p>
    <w:p>
      <w:pPr>
        <w:pStyle w:val="Normal"/>
        <w:rPr/>
      </w:pPr>
      <w:r>
        <w:t>checksums</w:t>
      </w:r>
    </w:p>
    <w:p>
      <w:pPr>
        <w:pStyle w:val="Normal"/>
        <w:rPr/>
      </w:pPr>
      <w:r>
        <w:t>fingerprint</w:t>
      </w:r>
    </w:p>
    <w:p>
      <w:pPr>
        <w:pStyle w:val="Normal"/>
        <w:rPr/>
      </w:pPr>
      <w:r>
        <w:t>finger</w:t>
      </w:r>
    </w:p>
    <w:p>
      <w:pPr>
        <w:pStyle w:val="Normal"/>
        <w:rPr/>
      </w:pPr>
      <w:r>
        <w:t>\bst5\b</w:t>
      </w:r>
    </w:p>
    <w:p>
      <w:pPr>
        <w:pStyle w:val="Normal"/>
        <w:rPr/>
      </w:pPr>
      <w:r>
        <w:t>\bshn\b</w:t>
      </w:r>
    </w:p>
    <w:p>
      <w:pPr>
        <w:pStyle w:val="Normal"/>
        <w:rPr/>
      </w:pPr>
      <w:r>
        <w:t>\bcue\b</w:t>
      </w:r>
    </w:p>
    <w:p>
      <w:pPr>
        <w:pStyle w:val="Normal"/>
        <w:rPr/>
      </w:pPr>
      <w:r>
        <w:t>\bm3u\b</w:t>
      </w:r>
    </w:p>
    <w:p>
      <w:pPr>
        <w:pStyle w:val="Normal"/>
        <w:rPr/>
      </w:pPr>
      <w:r>
        <w:t>\bm3u8\b</w:t>
      </w:r>
    </w:p>
    <w:p>
      <w:pPr>
        <w:pStyle w:val="Normal"/>
        <w:rPr/>
      </w:pPr>
      <w:r>
        <w:t>\bpls\b</w:t>
      </w:r>
    </w:p>
    <w:p>
      <w:pPr>
        <w:pStyle w:val="Normal"/>
        <w:rPr/>
      </w:pPr>
      <w:r>
        <w:t>\blog\b</w:t>
      </w:r>
    </w:p>
    <w:p>
      <w:pPr>
        <w:pStyle w:val="Normal"/>
        <w:rPr/>
      </w:pPr>
      <w:r>
        <w:t>torrent</w:t>
      </w:r>
    </w:p>
    <w:p>
      <w:pPr>
        <w:pStyle w:val="Normal"/>
        <w:rPr/>
      </w:pPr>
      <w:r>
        <w:t>spectrogram</w:t>
      </w:r>
    </w:p>
    <w:p>
      <w:pPr>
        <w:pStyle w:val="Normal"/>
        <w:rPr/>
      </w:pPr>
      <w:r>
        <w:t>aucdtect</w:t>
      </w:r>
    </w:p>
    <w:p>
      <w:pPr>
        <w:pStyle w:val="Normal"/>
        <w:rPr/>
      </w:pPr>
      <w:r>
        <w:t>dislaimer</w:t>
      </w:r>
    </w:p>
    <w:p>
      <w:pPr>
        <w:pStyle w:val="Normal"/>
        <w:rPr/>
      </w:pPr>
      <w:r>
        <w:t>disclaimer</w:t>
      </w:r>
    </w:p>
    <w:p>
      <w:pPr>
        <w:pStyle w:val="Normal"/>
        <w:rPr/>
      </w:pPr>
      <w:r>
        <w:t>easyed</w:t>
      </w:r>
    </w:p>
    <w:p>
      <w:pPr>
        <w:pStyle w:val="Normal"/>
        <w:rPr/>
      </w:pPr>
      <w:r>
        <w:t>previous</w:t>
      </w:r>
    </w:p>
    <w:p>
      <w:pPr>
        <w:pStyle w:val="Normal"/>
        <w:rPr/>
      </w:pPr>
      <w:r>
        <w:t>trader[']?s?\s*little\s*helper</w:t>
      </w:r>
    </w:p>
    <w:p>
      <w:pPr>
        <w:pStyle w:val="Normal"/>
        <w:rPr/>
      </w:pPr>
      <w:r>
        <w:t>\btlh\b</w:t>
      </w:r>
    </w:p>
    <w:p>
      <w:pPr>
        <w:pStyle w:val="Normal"/>
        <w:rPr/>
      </w:pPr>
      <w:r>
        <w:t>folder[\s._-]*aucdtect</w:t>
      </w:r>
    </w:p>
    <w:p>
      <w:pPr>
        <w:pStyle w:val="Normal"/>
        <w:rPr/>
      </w:pPr>
      <w:r>
        <w:t>ffmpeg</w:t>
      </w:r>
    </w:p>
    <w:p>
      <w:pPr>
        <w:pStyle w:val="Heading3"/>
        <w:rPr/>
      </w:pPr>
      <w:r>
        <w:t>Setlist content signal patterns</w:t>
      </w:r>
    </w:p>
    <w:p>
      <w:r>
        <w:t>Content signal patterns include explicit track/setlist section labels such as Track List, Set List, Songs, Tracks, Contents, and numbered or file-style track rows such as 01 Title, 1) Title, 03 - Title, d1t01 Title, cd1t01 Title, set 2 track 01 Title, and bracketed-duration variants. Consecutive checksum/hash rows are treated as technical sections, not song-title content. Numeric extraction-table rows are not content signals merely because they begin with track numbers; EAC TOC rows and comparable multi-column timestamp/sector rows are technical content and must be rejected.</w:t>
      </w:r>
    </w:p>
    <w:p>
      <w:pPr>
        <w:pStyle w:val="Heading3"/>
        <w:rPr/>
      </w:pPr>
      <w:r>
        <w:t>Setlist line filters</w:t>
      </w:r>
    </w:p>
    <w:p>
      <w:r>
        <w:t>Line filters reject known technical/report rows before title or metadata parsing, including ffp/fpt/checksum/md5/shn fingerprint rows, auCDtect and folder-auCDtect reports, ffmpeg lines, easyed/disclaimer/previous notes, source lineage prose, collector/commentary prose, and technical sample files. Header scanning stops only at a confirmed track-list or checksum boundary, not at a single weak date-looking or track-shaped line.</w:t>
      </w:r>
    </w:p>
    <w:p>
      <w:pPr>
        <w:pStyle w:val="Heading3"/>
        <w:rPr/>
      </w:pPr>
      <w:r>
        <w:t>Checksum-only line patterns</w:t>
      </w:r>
    </w:p>
    <w:p>
      <w:pPr>
        <w:pStyle w:val="Normal"/>
        <w:rPr/>
      </w:pPr>
      <w:r>
        <w:t>Recognize checksum/hash rows consisting of an optional audio filename followed by a colon or equals sign and a 32- to 64-character hexadecimal hash. The filename may include spaces and a leading track number when the extension is a recognized audio extension such as .flac, .wav, .shn, .mp3, .m4a, .ape, .wv, .aif, or .aiff.</w:t>
      </w:r>
    </w:p>
    <w:p>
      <w:pPr>
        <w:pStyle w:val="Normal"/>
        <w:rPr/>
      </w:pPr>
      <w:r>
        <w:t>Examples: 01 Highway Star.flac:81b2cf16b83390c1875f67afb2d37350 and d1t01.wav = 0123456789abcdef0123456789abcdef. Multiple consecutive filename.ext:&lt;hex&gt; rows indicate a checksum/hash section and must not be parsed as track titles.</w:t>
      </w:r>
    </w:p>
    <w:p>
      <w:pPr>
        <w:pStyle w:val="Heading2"/>
        <w:rPr/>
      </w:pPr>
      <w:r>
        <w:t>E4. Date, Month, and Placeholder Pattern Lists</w:t>
      </w:r>
    </w:p>
    <w:p>
      <w:pPr>
        <w:pStyle w:val="Heading3"/>
        <w:rPr/>
      </w:pPr>
      <w:r>
        <w:t>Date Range Patterns</w:t>
      </w:r>
    </w:p>
    <w:p>
      <w:pPr>
        <w:pStyle w:val="Normal"/>
        <w:rPr/>
      </w:pPr>
      <w:r>
        <w:t>Supported year-range formats remain YYYY-YYYY, YY-YY, YYYY-YY, increasing multi-part forms such as 1996-97-98, and underscore-delimited equivalents such as 1996_97. Year ranges may use only dashes or underscores and must increase. Ranges made entirely of explicit four-digit years, such as 1917-1939 or 1996-2010, are not span-capped. Shorthand or mixed year ranges containing any two-digit component may span no more than five years after normalization. Compact eight-digit values are not ranges during date extraction; the exported-setlist filename normalizer separately handles increasing compact year-range tokens such as 19961998 -&gt; 1996-1998. Same-month multi-day performance ranges are also supported when they contain a first day plus one or two trailing day values, including yyyy-mm-dd-dd, yyyy-mm-dd-dd-dd, yyyy-mm-dd,dd, yyyy-mm-dd,dd,dd, 12-13 April 1970, 12-13-14 April 1970, April 12-13, 1970, and 1970 April 12-13 forms.</w:t>
      </w:r>
    </w:p>
    <w:p>
      <w:pPr>
        <w:pStyle w:val="Normal"/>
        <w:rPr/>
      </w:pPr>
      <w:r>
        <w:t>Year-range pattern definitions include ^(?:19|20)\d{2}[-_](?:19|20)\d{2}$, ^\d{2}[-_]\d{2}$, increasing multi-part year ranges with two to four components, and compact yyyyYY ambiguity handled by COMPACT_YEAR_MONTH_OR_RANGE_RE. Full 4-digit year components must start with 19 or 20; all-explicit 4-digit year ranges are valid solely by left-to-right increase, with no maximum span limit. Same-month multi-day range recognition accepts dash-separated or comma-separated day values, permits two or three total days, requires every day to be a real date in the stated month/year, and requires the day values to increase strictly left-to-right. A descending, duplicate, impossible, or overlong day sequence is rejected as one range and must not degrade into a match of only its leading date.</w:t>
      </w:r>
    </w:p>
    <w:p>
      <w:pPr>
        <w:pStyle w:val="Normal"/>
        <w:rPr/>
      </w:pPr>
      <w:r>
        <w:t>When a same-month multi-day range is detected, treat the first date in the range as the canonical show date and normalize it to yyyy-mm-dd using the existing date rules. Existing year-range normalization remains unchanged.</w:t>
      </w:r>
    </w:p>
    <w:p>
      <w:pPr>
        <w:pStyle w:val="Normal"/>
        <w:rPr/>
      </w:pPr>
      <w:r>
        <w:t>Preserve the full original same-month multi-day range string in PARENTHETICALS so the complete span remains visible in the final show identity even though DATE contains only the first canonical date.</w:t>
      </w:r>
    </w:p>
    <w:p>
      <w:pPr>
        <w:pStyle w:val="Heading3"/>
        <w:rPr/>
      </w:pPr>
      <w:r>
        <w:t>Month and month-abbreviation aliases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Month text</w:t>
            </w:r>
          </w:p>
        </w:tc>
        <w:tc>
          <w:tcPr>
            <w:tcW w:w="4319" w:type="dxa"/>
            <w:tcBorders/>
          </w:tcPr>
          <w:p>
            <w:pPr>
              <w:pStyle w:val="Normal"/>
              <w:spacing w:before="0" w:after="0"/>
              <w:rPr/>
            </w:pPr>
            <w:r>
              <w:rPr>
                <w:sz w:val="16"/>
              </w:rPr>
              <w:t>Month number</w:t>
            </w:r>
          </w:p>
        </w:tc>
      </w:tr>
      <w:tr>
        <w:trPr/>
        <w:tc>
          <w:tcPr>
            <w:tcW w:w="4320" w:type="dxa"/>
            <w:tcBorders/>
          </w:tcPr>
          <w:p>
            <w:pPr>
              <w:pStyle w:val="Normal"/>
              <w:spacing w:before="0" w:after="0"/>
              <w:rPr/>
            </w:pPr>
            <w:r>
              <w:rPr>
                <w:sz w:val="16"/>
              </w:rPr>
              <w:t>apr</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april</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aug</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august</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dec</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december</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feb</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february</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jan</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january</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jul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july</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jun</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june</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mar</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march</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may</w:t>
            </w:r>
          </w:p>
        </w:tc>
        <w:tc>
          <w:tcPr>
            <w:tcW w:w="4319" w:type="dxa"/>
            <w:tcBorders/>
          </w:tcPr>
          <w:p>
            <w:pPr>
              <w:pStyle w:val="Normal"/>
              <w:spacing w:before="0" w:after="0"/>
              <w:rPr/>
            </w:pPr>
            <w:r>
              <w:rPr>
                <w:sz w:val="16"/>
              </w:rPr>
              <w:t>5</w:t>
            </w:r>
          </w:p>
        </w:tc>
      </w:tr>
      <w:tr>
        <w:trPr/>
        <w:tc>
          <w:tcPr>
            <w:tcW w:w="4320" w:type="dxa"/>
            <w:tcBorders/>
          </w:tcPr>
          <w:p>
            <w:pPr>
              <w:pStyle w:val="Normal"/>
              <w:spacing w:before="0" w:after="0"/>
              <w:rPr/>
            </w:pPr>
            <w:r>
              <w:rPr>
                <w:sz w:val="16"/>
              </w:rPr>
              <w:t>nov</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november</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oct</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october</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sep</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september</w:t>
            </w:r>
          </w:p>
        </w:tc>
        <w:tc>
          <w:tcPr>
            <w:tcW w:w="4319" w:type="dxa"/>
            <w:tcBorders/>
          </w:tcPr>
          <w:p>
            <w:pPr>
              <w:pStyle w:val="Normal"/>
              <w:spacing w:before="0" w:after="0"/>
              <w:rPr/>
            </w:pPr>
            <w:r>
              <w:rPr>
                <w:sz w:val="16"/>
              </w:rPr>
              <w:t>9</w:t>
            </w:r>
          </w:p>
        </w:tc>
      </w:tr>
    </w:tbl>
    <w:p>
      <w:pPr>
        <w:pStyle w:val="Heading3"/>
        <w:rPr/>
      </w:pPr>
      <w:r>
        <w:t>Date-pattern list used while evaluating complete paths</w:t>
      </w:r>
    </w:p>
    <w:p>
      <w:pPr>
        <w:pStyle w:val="Normal"/>
        <w:rPr/>
      </w:pPr>
      <w:r>
        <w:t>Month-year partial forms such as November2020, November 2020, Nov 2020, April2001, or April 2001 are recognized as less-specified date candidates and normalize to yyyy-mm-xx only when the year component is four digits. Do not treat Month Day text such as June 15 as a two-digit month-year partial date such as 2015-06-xx.</w:t>
      </w:r>
    </w:p>
    <w:p>
      <w:pPr>
        <w:pStyle w:val="Normal"/>
        <w:rPr/>
      </w:pPr>
      <w:r>
        <w:t>\b(?:19|20)\d{2}([._ -])\d{1,2}\1\d{1,2}\b or \b(?:19|20)\d{2}\s+\d{1,2}\s+\d{1,2}\b; the same separator must be used between all three numeric components. Slash is not accepted for all-numeric dates. The explicit mixed exceptions are \b(?:19|20)\d{2}\s+\d{1,2}[.-]\d{1,2}\b.</w:t>
      </w:r>
    </w:p>
    <w:p>
      <w:pPr>
        <w:pStyle w:val="Normal"/>
        <w:rPr/>
      </w:pPr>
      <w:r>
        <w:t>Compliant folder-name pattern matching additionally accepts the narrow repair form yyyy-mm dd. This repair is compliant-only; ordinary shared date parsing still rejects mixed numeric separators unless a requirement explicitly allows the source-specific exception.</w:t>
      </w:r>
    </w:p>
    <w:p>
      <w:pPr>
        <w:pStyle w:val="Normal"/>
        <w:rPr/>
      </w:pPr>
      <w:r>
        <w:t>\b\d{1,2}([._ -])\d{1,2}\1(?:\d{2}|(?:19|20)\d{2})\b or \b\d{1,2}\s+\d{1,2}\s+(?:\d{2}|(?:19|20)\d{2})\b; the same separator must be used between all three numeric components. Slash is not accepted for all-numeric dates.</w:t>
      </w:r>
    </w:p>
    <w:p>
      <w:pPr>
        <w:pStyle w:val="Normal"/>
        <w:rPr/>
      </w:pPr>
      <w:r>
        <w:t>\b(?:19|20)\d{6}\b (normalize as yyyy-mm-dd only when valid). Compact eight-digit values are not ranges during date extraction; filename normalization may still convert increasing compact year-range tokens such as 19961998 to 1996-1998.</w:t>
      </w:r>
    </w:p>
    <w:p>
      <w:pPr>
        <w:pStyle w:val="Normal"/>
        <w:rPr/>
      </w:pPr>
      <w:r>
        <w:t>\b(?:jan|january|feb|february|mar|march|apr|april|may|jun|june|jul|july|aug|august|sep|sept|september|oct|october|nov|november|dec|december)\s+\d{1,2},?\s+\d{2,4}\b</w:t>
      </w:r>
    </w:p>
    <w:p>
      <w:pPr>
        <w:pStyle w:val="Normal"/>
        <w:rPr/>
      </w:pPr>
      <w:r>
        <w:t>\b\d{1,2}\s+(?:jan|january|feb|february|mar|march|apr|april|may|jun|june|jul|july|aug|august|sep|sept|september|oct|october|nov|november|dec|december),?\s+\d{2,4}\b</w:t>
      </w:r>
    </w:p>
    <w:p>
      <w:pPr>
        <w:pStyle w:val="Normal"/>
        <w:rPr/>
      </w:pPr>
      <w:r>
        <w:t>\b(?:jan|january|feb|february|mar|march|apr|april|may|jun|june|jul|july|aug|august|sep|sept|september|oct|october|nov|november|dec|december)[\s._-]+\d{1,2}[\s._-]+\d{2,4}\b</w:t>
      </w:r>
    </w:p>
    <w:p>
      <w:pPr>
        <w:pStyle w:val="Normal"/>
        <w:rPr/>
      </w:pPr>
      <w:r>
        <w:t>\b\d{1,2}[\s._-]+(?:jan|january|feb|february|mar|march|apr|april|may|jun|june|jul|july|aug|august|sep|sept|september|oct|october|nov|november|dec|december)[\s._-]+\d{2,4}\b</w:t>
      </w:r>
    </w:p>
    <w:p>
      <w:pPr>
        <w:pStyle w:val="Normal"/>
        <w:rPr/>
      </w:pPr>
      <w:r>
        <w:t>\b\d{4}\s+(?:jan|january|feb|february|mar|march|apr|april|may|jun|june|jul|july|aug|august|sep|sept|september|oct|october|nov|november|dec|december)\s+\d{1,2}\b</w:t>
      </w:r>
    </w:p>
    <w:p>
      <w:pPr>
        <w:pStyle w:val="Normal"/>
        <w:rPr/>
      </w:pPr>
      <w:r>
        <w:t>\b\d{4}[\s._-]+(?:jan|january|feb|february|mar|march|apr|april|may|jun|june|jul|july|aug|august|sep|sept|september|oct|october|nov|november|dec|december)[\s._-]+\d{1,2}\b</w:t>
      </w:r>
    </w:p>
    <w:p>
      <w:pPr>
        <w:pStyle w:val="Normal"/>
        <w:rPr/>
      </w:pPr>
      <w:r>
        <w:t>\b\d{1,2}(?:jan|january|feb|february|mar|march|apr|april|may|jun|june|jul|july|aug|august|sep|sept|september|oct|october|nov|november|dec|december)\d{2,4}\b</w:t>
      </w:r>
    </w:p>
    <w:p>
      <w:pPr>
        <w:pStyle w:val="Normal"/>
        <w:rPr/>
      </w:pPr>
      <w:r>
        <w:t>\b(?:jan|january|feb|february|mar|march|apr|april|may|jun|june|jul|july|aug|august|sep|sept|september|oct|october|nov|november|dec|december)\d{4}\b</w:t>
      </w:r>
    </w:p>
    <w:p>
      <w:pPr>
        <w:pStyle w:val="Normal"/>
        <w:rPr/>
      </w:pPr>
      <w:r>
        <w:t>\b\d{4}(?:jan|january|feb|february|mar|march|apr|april|may|jun|june|jul|july|aug|august|sep|sept|september|oct|october|nov|november|dec|december)\d{1,2}\b</w:t>
      </w:r>
    </w:p>
    <w:p>
      <w:pPr>
        <w:pStyle w:val="Normal"/>
        <w:rPr/>
      </w:pPr>
      <w:r>
        <w:t>\b\d{1,2}[._-](?:jan|january|feb|february|mar|march|apr|april|may|jun|june|jul|july|aug|august|sep|sept|september|oct|october|nov|november|dec|december)[._-]\d{2,4}\b</w:t>
      </w:r>
    </w:p>
    <w:p>
      <w:pPr>
        <w:pStyle w:val="Heading3"/>
        <w:rPr/>
      </w:pPr>
      <w:r>
        <w:t>Core date extractor patterns</w:t>
      </w:r>
    </w:p>
    <w:p>
      <w:pPr>
        <w:pStyle w:val="Normal"/>
        <w:rPr/>
      </w:pPr>
      <w:r>
        <w:t>YEAR_FIRST_PATTERN: (?&lt;![0-9xX])(?P&lt;year&gt;(?:\d{2}|(?:19|20)\d{2}|(?:19|20)\d[xX]|(?:19|20)[xX]{2}|[xX]{4}))(?P&lt;sep&gt;(?:\s+|[._-]))(?P&lt;month&gt;[0-9xX]{1,2})(?P=sep)(?P&lt;day&gt;[0-9xX]{1,2})(?![0-9xX]); the same separator text must appear between year/month and month/day. Slash is not accepted.</w:t>
      </w:r>
    </w:p>
    <w:p>
      <w:pPr>
        <w:pStyle w:val="Normal"/>
        <w:rPr/>
      </w:pPr>
      <w:r>
        <w:t>DAY_MONTH_YEAR_END_PATTERN: (?&lt;![0-9xX])(?P&lt;a&gt;[0-9xX]{1,2})(?P&lt;sep1&gt;(?:\s*[._-]\s*|\s+))(?P&lt;b&gt;[0-9xX]{1,2})(?P&lt;sep2&gt;(?:\s*[._-]\s*|\s+))(?P&lt;year&gt;(?:\d{2}|(?:19|20)\d{2}|(?:19|20)\d[xX]|(?:19|20)[xX]{2}|[xX]{4}))(?![0-9xX]); the effective separator kind must be consistent across components. US month/day is preferred when both orders are valid; European day/month is used when US order is invalid and must be confirmed from selected setlist contents when found from path/pattern/filename context.</w:t>
      </w:r>
    </w:p>
    <w:p>
      <w:pPr>
        <w:pStyle w:val="Normal"/>
        <w:rPr/>
      </w:pPr>
      <w:r>
        <w:t>YYYYMMDD: (?&lt;![0-9xX])(?P&lt;year&gt;(?:19|20)\d{2}|(?:19|20)\dx|(?:19|20)xx|xxxx)(?P&lt;month&gt;[0-9xX]{2})(?P&lt;day&gt;[0-9xX]{2})(?![0-9xX]); normalize to yyyy-mm-dd only when valid and when x placeholders obey the right-suffix rule.</w:t>
      </w:r>
    </w:p>
    <w:p>
      <w:pPr>
        <w:pStyle w:val="Normal"/>
        <w:rPr/>
      </w:pPr>
      <w:r>
        <w:t>COMPACT_YEAR_MONTH_OR_RANGE: (?&lt;![0-9xX])(?P&lt;year&gt;(?:19|20)\d{2})(?P&lt;tail&gt;\d{2})(?![0-9xX]); emits yyyy-mm-xx and may also emit yyyy-yyyy when the tail plausibly advances the year within the five-year span.</w:t>
      </w:r>
    </w:p>
    <w:p>
      <w:pPr>
        <w:pStyle w:val="Normal"/>
        <w:rPr/>
      </w:pPr>
      <w:r>
        <w:t>FOUR_PLUS_FOUR_RE: (?&lt;![0-9xX])(?P&lt;year&gt;(?:19|20)\d{2}|(?:19|20)\dx|(?:19|20)xx|xxxx)(?P&lt;four_sep&gt;[ -])(?P&lt;monthday&gt;\d{4})(?![0-9xX]); the space form must resolve to a valid US MMDD or European DDMM date. The dash form first checks exact yyyy-yyyy range handling; non-range dash values then parse as compact dates. Ambiguous valid values prefer US MMDD.</w:t>
      </w:r>
    </w:p>
    <w:p>
      <w:pPr>
        <w:pStyle w:val="Normal"/>
        <w:rPr/>
      </w:pPr>
      <w:r>
        <w:t>Textual month date patterns use MONTH_NAME_CASED_PATTERN, allowing only all-uppercase, all-lowercase, or Title-case month names/abbreviations. They support no-space forms, dash/dot/underscore delimiters, comma/space variants, and punctuation with surrounding spaces such as " - ", "- ", " -", and " . ". Same-month textual day ranges additionally accept two or three strictly increasing days around the month name, including day-range/month/year, month/day-range/year, and year/month/day-range orders.</w:t>
      </w:r>
    </w:p>
    <w:p>
      <w:pPr>
        <w:pStyle w:val="Normal"/>
        <w:rPr/>
      </w:pPr>
      <w:r>
        <w:t>Date extraction must ignore audio-format references such as 44.1/16, 24/96, 16/48, 16-44, 24-96, 16-44.1, and similar sample-rate/bit-depth text.</w:t>
      </w:r>
    </w:p>
    <w:p>
      <w:pPr>
        <w:pStyle w:val="Normal"/>
        <w:rPr/>
      </w:pPr>
      <w:r>
        <w:t>Date extraction must reject all-numeric path/filename candidates whose ordinary date component separators are mixed across period, dash, underscore, and plain-space styles. Whitespace around a punctuation separator may be present, but the underlying separator style must remain consistent. Slash is accepted only while scanning selected setlist contents and FLAC DATE tags, where US m/d/y is preferred, European d/m/y is used only when US order is invalid, and invalid slash candidates are ignored. The comma or dash between trailing day values in a recognized same-month multi-day range is a range separator validated by the dedicated range rule and does not relax the ordinary numeric-date separator rule. When date matching is applied to an arbitrarily long complete path or other parser input, only the trailing 1,024 characters are submitted to date analysis; reported match offsets must still refer to the original untruncated string. Inputs at or below that limit retain the existing behavior.</w:t>
      </w:r>
    </w:p>
    <w:p>
      <w:pPr>
        <w:pStyle w:val="Normal"/>
        <w:rPr/>
      </w:pPr>
      <w:r>
        <w:t>Day month year with optional ordinal suffix</w:t>
      </w:r>
    </w:p>
    <w:p>
      <w:pPr>
        <w:pStyle w:val="Normal"/>
        <w:rPr/>
      </w:pPr>
      <w:r>
        <w:t>Year month-name day with optional ordinal suffix</w:t>
      </w:r>
    </w:p>
    <w:p>
      <w:pPr>
        <w:pStyle w:val="Heading2"/>
        <w:rPr/>
      </w:pPr>
      <w:r>
        <w:t>E5. Location, State, Country, and City Lists</w:t>
      </w:r>
    </w:p>
    <w:p>
      <w:pPr>
        <w:pStyle w:val="Heading3"/>
        <w:rPr/>
      </w:pPr>
      <w:r>
        <w:t>United States state and District of Columbia codes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Code</w:t>
            </w:r>
          </w:p>
        </w:tc>
        <w:tc>
          <w:tcPr>
            <w:tcW w:w="4319" w:type="dxa"/>
            <w:tcBorders/>
          </w:tcPr>
          <w:p>
            <w:pPr>
              <w:pStyle w:val="Normal"/>
              <w:spacing w:before="0" w:after="0"/>
              <w:rPr/>
            </w:pPr>
            <w:r>
              <w:rPr>
                <w:sz w:val="16"/>
              </w:rPr>
              <w:t>Name</w:t>
            </w:r>
          </w:p>
        </w:tc>
      </w:tr>
      <w:tr>
        <w:trPr/>
        <w:tc>
          <w:tcPr>
            <w:tcW w:w="4320" w:type="dxa"/>
            <w:tcBorders/>
          </w:tcPr>
          <w:p>
            <w:pPr>
              <w:pStyle w:val="Normal"/>
              <w:spacing w:before="0" w:after="0"/>
              <w:rPr/>
            </w:pPr>
            <w:r>
              <w:rPr>
                <w:sz w:val="16"/>
              </w:rPr>
              <w:t>AK</w:t>
            </w:r>
          </w:p>
        </w:tc>
        <w:tc>
          <w:tcPr>
            <w:tcW w:w="4319" w:type="dxa"/>
            <w:tcBorders/>
          </w:tcPr>
          <w:p>
            <w:pPr>
              <w:pStyle w:val="Normal"/>
              <w:spacing w:before="0" w:after="0"/>
              <w:rPr/>
            </w:pPr>
            <w:r>
              <w:rPr>
                <w:sz w:val="16"/>
              </w:rPr>
              <w:t>Alaska</w:t>
            </w:r>
          </w:p>
        </w:tc>
      </w:tr>
      <w:tr>
        <w:trPr/>
        <w:tc>
          <w:tcPr>
            <w:tcW w:w="4320" w:type="dxa"/>
            <w:tcBorders/>
          </w:tcPr>
          <w:p>
            <w:pPr>
              <w:pStyle w:val="Normal"/>
              <w:spacing w:before="0" w:after="0"/>
              <w:rPr/>
            </w:pPr>
            <w:r>
              <w:rPr>
                <w:sz w:val="16"/>
              </w:rPr>
              <w:t>AL</w:t>
            </w:r>
          </w:p>
        </w:tc>
        <w:tc>
          <w:tcPr>
            <w:tcW w:w="4319" w:type="dxa"/>
            <w:tcBorders/>
          </w:tcPr>
          <w:p>
            <w:pPr>
              <w:pStyle w:val="Normal"/>
              <w:spacing w:before="0" w:after="0"/>
              <w:rPr/>
            </w:pPr>
            <w:r>
              <w:rPr>
                <w:sz w:val="16"/>
              </w:rPr>
              <w:t>Alabama</w:t>
            </w:r>
          </w:p>
        </w:tc>
      </w:tr>
      <w:tr>
        <w:trPr/>
        <w:tc>
          <w:tcPr>
            <w:tcW w:w="4320" w:type="dxa"/>
            <w:tcBorders/>
          </w:tcPr>
          <w:p>
            <w:pPr>
              <w:pStyle w:val="Normal"/>
              <w:spacing w:before="0" w:after="0"/>
              <w:rPr/>
            </w:pPr>
            <w:r>
              <w:rPr>
                <w:sz w:val="16"/>
              </w:rPr>
              <w:t>AR</w:t>
            </w:r>
          </w:p>
        </w:tc>
        <w:tc>
          <w:tcPr>
            <w:tcW w:w="4319" w:type="dxa"/>
            <w:tcBorders/>
          </w:tcPr>
          <w:p>
            <w:pPr>
              <w:pStyle w:val="Normal"/>
              <w:spacing w:before="0" w:after="0"/>
              <w:rPr/>
            </w:pPr>
            <w:r>
              <w:rPr>
                <w:sz w:val="16"/>
              </w:rPr>
              <w:t>Arkansas</w:t>
            </w:r>
          </w:p>
        </w:tc>
      </w:tr>
      <w:tr>
        <w:trPr/>
        <w:tc>
          <w:tcPr>
            <w:tcW w:w="4320" w:type="dxa"/>
            <w:tcBorders/>
          </w:tcPr>
          <w:p>
            <w:pPr>
              <w:pStyle w:val="Normal"/>
              <w:spacing w:before="0" w:after="0"/>
              <w:rPr/>
            </w:pPr>
            <w:r>
              <w:rPr>
                <w:sz w:val="16"/>
              </w:rPr>
              <w:t>AZ</w:t>
            </w:r>
          </w:p>
        </w:tc>
        <w:tc>
          <w:tcPr>
            <w:tcW w:w="4319" w:type="dxa"/>
            <w:tcBorders/>
          </w:tcPr>
          <w:p>
            <w:pPr>
              <w:pStyle w:val="Normal"/>
              <w:spacing w:before="0" w:after="0"/>
              <w:rPr/>
            </w:pPr>
            <w:r>
              <w:rPr>
                <w:sz w:val="16"/>
              </w:rPr>
              <w:t>Arizona</w:t>
            </w:r>
          </w:p>
        </w:tc>
      </w:tr>
      <w:tr>
        <w:trPr/>
        <w:tc>
          <w:tcPr>
            <w:tcW w:w="4320" w:type="dxa"/>
            <w:tcBorders/>
          </w:tcPr>
          <w:p>
            <w:pPr>
              <w:pStyle w:val="Normal"/>
              <w:spacing w:before="0" w:after="0"/>
              <w:rPr/>
            </w:pPr>
            <w:r>
              <w:rPr>
                <w:sz w:val="16"/>
              </w:rPr>
              <w:t>CA</w:t>
            </w:r>
          </w:p>
        </w:tc>
        <w:tc>
          <w:tcPr>
            <w:tcW w:w="4319" w:type="dxa"/>
            <w:tcBorders/>
          </w:tcPr>
          <w:p>
            <w:pPr>
              <w:pStyle w:val="Normal"/>
              <w:spacing w:before="0" w:after="0"/>
              <w:rPr/>
            </w:pPr>
            <w:r>
              <w:rPr>
                <w:sz w:val="16"/>
              </w:rPr>
              <w:t>California</w:t>
            </w:r>
          </w:p>
        </w:tc>
      </w:tr>
      <w:tr>
        <w:trPr/>
        <w:tc>
          <w:tcPr>
            <w:tcW w:w="4320" w:type="dxa"/>
            <w:tcBorders/>
          </w:tcPr>
          <w:p>
            <w:pPr>
              <w:pStyle w:val="Normal"/>
              <w:spacing w:before="0" w:after="0"/>
              <w:rPr/>
            </w:pPr>
            <w:r>
              <w:rPr>
                <w:sz w:val="16"/>
              </w:rPr>
              <w:t>CO</w:t>
            </w:r>
          </w:p>
        </w:tc>
        <w:tc>
          <w:tcPr>
            <w:tcW w:w="4319" w:type="dxa"/>
            <w:tcBorders/>
          </w:tcPr>
          <w:p>
            <w:pPr>
              <w:pStyle w:val="Normal"/>
              <w:spacing w:before="0" w:after="0"/>
              <w:rPr/>
            </w:pPr>
            <w:r>
              <w:rPr>
                <w:sz w:val="16"/>
              </w:rPr>
              <w:t>Colorado</w:t>
            </w:r>
          </w:p>
        </w:tc>
      </w:tr>
      <w:tr>
        <w:trPr/>
        <w:tc>
          <w:tcPr>
            <w:tcW w:w="4320" w:type="dxa"/>
            <w:tcBorders/>
          </w:tcPr>
          <w:p>
            <w:pPr>
              <w:pStyle w:val="Normal"/>
              <w:spacing w:before="0" w:after="0"/>
              <w:rPr/>
            </w:pPr>
            <w:r>
              <w:rPr>
                <w:sz w:val="16"/>
              </w:rPr>
              <w:t>CT</w:t>
            </w:r>
          </w:p>
        </w:tc>
        <w:tc>
          <w:tcPr>
            <w:tcW w:w="4319" w:type="dxa"/>
            <w:tcBorders/>
          </w:tcPr>
          <w:p>
            <w:pPr>
              <w:pStyle w:val="Normal"/>
              <w:spacing w:before="0" w:after="0"/>
              <w:rPr/>
            </w:pPr>
            <w:r>
              <w:rPr>
                <w:sz w:val="16"/>
              </w:rPr>
              <w:t>Connecticut</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District of Columbia</w:t>
            </w:r>
          </w:p>
        </w:tc>
      </w:tr>
      <w:tr>
        <w:trPr/>
        <w:tc>
          <w:tcPr>
            <w:tcW w:w="4320" w:type="dxa"/>
            <w:tcBorders/>
          </w:tcPr>
          <w:p>
            <w:pPr>
              <w:pStyle w:val="Normal"/>
              <w:spacing w:before="0" w:after="0"/>
              <w:rPr/>
            </w:pPr>
            <w:r>
              <w:rPr>
                <w:sz w:val="16"/>
              </w:rPr>
              <w:t>DE</w:t>
            </w:r>
          </w:p>
        </w:tc>
        <w:tc>
          <w:tcPr>
            <w:tcW w:w="4319" w:type="dxa"/>
            <w:tcBorders/>
          </w:tcPr>
          <w:p>
            <w:pPr>
              <w:pStyle w:val="Normal"/>
              <w:spacing w:before="0" w:after="0"/>
              <w:rPr/>
            </w:pPr>
            <w:r>
              <w:rPr>
                <w:sz w:val="16"/>
              </w:rPr>
              <w:t>Delaware</w:t>
            </w:r>
          </w:p>
        </w:tc>
      </w:tr>
      <w:tr>
        <w:trPr/>
        <w:tc>
          <w:tcPr>
            <w:tcW w:w="4320" w:type="dxa"/>
            <w:tcBorders/>
          </w:tcPr>
          <w:p>
            <w:pPr>
              <w:pStyle w:val="Normal"/>
              <w:spacing w:before="0" w:after="0"/>
              <w:rPr/>
            </w:pPr>
            <w:r>
              <w:rPr>
                <w:sz w:val="16"/>
              </w:rPr>
              <w:t>FL</w:t>
            </w:r>
          </w:p>
        </w:tc>
        <w:tc>
          <w:tcPr>
            <w:tcW w:w="4319" w:type="dxa"/>
            <w:tcBorders/>
          </w:tcPr>
          <w:p>
            <w:pPr>
              <w:pStyle w:val="Normal"/>
              <w:spacing w:before="0" w:after="0"/>
              <w:rPr/>
            </w:pPr>
            <w:r>
              <w:rPr>
                <w:sz w:val="16"/>
              </w:rPr>
              <w:t>Florida</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Georgia</w:t>
            </w:r>
          </w:p>
        </w:tc>
      </w:tr>
      <w:tr>
        <w:trPr/>
        <w:tc>
          <w:tcPr>
            <w:tcW w:w="4320" w:type="dxa"/>
            <w:tcBorders/>
          </w:tcPr>
          <w:p>
            <w:pPr>
              <w:pStyle w:val="Normal"/>
              <w:spacing w:before="0" w:after="0"/>
              <w:rPr/>
            </w:pPr>
            <w:r>
              <w:rPr>
                <w:sz w:val="16"/>
              </w:rPr>
              <w:t>HI</w:t>
            </w:r>
          </w:p>
        </w:tc>
        <w:tc>
          <w:tcPr>
            <w:tcW w:w="4319" w:type="dxa"/>
            <w:tcBorders/>
          </w:tcPr>
          <w:p>
            <w:pPr>
              <w:pStyle w:val="Normal"/>
              <w:spacing w:before="0" w:after="0"/>
              <w:rPr/>
            </w:pPr>
            <w:r>
              <w:rPr>
                <w:sz w:val="16"/>
              </w:rPr>
              <w:t>Hawaii</w:t>
            </w:r>
          </w:p>
        </w:tc>
      </w:tr>
      <w:tr>
        <w:trPr/>
        <w:tc>
          <w:tcPr>
            <w:tcW w:w="4320" w:type="dxa"/>
            <w:tcBorders/>
          </w:tcPr>
          <w:p>
            <w:pPr>
              <w:pStyle w:val="Normal"/>
              <w:spacing w:before="0" w:after="0"/>
              <w:rPr/>
            </w:pPr>
            <w:r>
              <w:rPr>
                <w:sz w:val="16"/>
              </w:rPr>
              <w:t>IA</w:t>
            </w:r>
          </w:p>
        </w:tc>
        <w:tc>
          <w:tcPr>
            <w:tcW w:w="4319" w:type="dxa"/>
            <w:tcBorders/>
          </w:tcPr>
          <w:p>
            <w:pPr>
              <w:pStyle w:val="Normal"/>
              <w:spacing w:before="0" w:after="0"/>
              <w:rPr/>
            </w:pPr>
            <w:r>
              <w:rPr>
                <w:sz w:val="16"/>
              </w:rPr>
              <w:t>Iowa</w:t>
            </w:r>
          </w:p>
        </w:tc>
      </w:tr>
      <w:tr>
        <w:trPr/>
        <w:tc>
          <w:tcPr>
            <w:tcW w:w="4320" w:type="dxa"/>
            <w:tcBorders/>
          </w:tcPr>
          <w:p>
            <w:pPr>
              <w:pStyle w:val="Normal"/>
              <w:spacing w:before="0" w:after="0"/>
              <w:rPr/>
            </w:pPr>
            <w:r>
              <w:rPr>
                <w:sz w:val="16"/>
              </w:rPr>
              <w:t>ID</w:t>
            </w:r>
          </w:p>
        </w:tc>
        <w:tc>
          <w:tcPr>
            <w:tcW w:w="4319" w:type="dxa"/>
            <w:tcBorders/>
          </w:tcPr>
          <w:p>
            <w:pPr>
              <w:pStyle w:val="Normal"/>
              <w:spacing w:before="0" w:after="0"/>
              <w:rPr/>
            </w:pPr>
            <w:r>
              <w:rPr>
                <w:sz w:val="16"/>
              </w:rPr>
              <w:t>Idaho</w:t>
            </w:r>
          </w:p>
        </w:tc>
      </w:tr>
      <w:tr>
        <w:trPr/>
        <w:tc>
          <w:tcPr>
            <w:tcW w:w="4320" w:type="dxa"/>
            <w:tcBorders/>
          </w:tcPr>
          <w:p>
            <w:pPr>
              <w:pStyle w:val="Normal"/>
              <w:spacing w:before="0" w:after="0"/>
              <w:rPr/>
            </w:pPr>
            <w:r>
              <w:rPr>
                <w:sz w:val="16"/>
              </w:rPr>
              <w:t>IL</w:t>
            </w:r>
          </w:p>
        </w:tc>
        <w:tc>
          <w:tcPr>
            <w:tcW w:w="4319" w:type="dxa"/>
            <w:tcBorders/>
          </w:tcPr>
          <w:p>
            <w:pPr>
              <w:pStyle w:val="Normal"/>
              <w:spacing w:before="0" w:after="0"/>
              <w:rPr/>
            </w:pPr>
            <w:r>
              <w:rPr>
                <w:sz w:val="16"/>
              </w:rPr>
              <w:t>Illinois</w:t>
            </w:r>
          </w:p>
        </w:tc>
      </w:tr>
      <w:tr>
        <w:trPr/>
        <w:tc>
          <w:tcPr>
            <w:tcW w:w="4320" w:type="dxa"/>
            <w:tcBorders/>
          </w:tcPr>
          <w:p>
            <w:pPr>
              <w:pStyle w:val="Normal"/>
              <w:spacing w:before="0" w:after="0"/>
              <w:rPr/>
            </w:pPr>
            <w:r>
              <w:rPr>
                <w:sz w:val="16"/>
              </w:rPr>
              <w:t>IN</w:t>
            </w:r>
          </w:p>
        </w:tc>
        <w:tc>
          <w:tcPr>
            <w:tcW w:w="4319" w:type="dxa"/>
            <w:tcBorders/>
          </w:tcPr>
          <w:p>
            <w:pPr>
              <w:pStyle w:val="Normal"/>
              <w:spacing w:before="0" w:after="0"/>
              <w:rPr/>
            </w:pPr>
            <w:r>
              <w:rPr>
                <w:sz w:val="16"/>
              </w:rPr>
              <w:t>Indiana</w:t>
            </w:r>
          </w:p>
        </w:tc>
      </w:tr>
      <w:tr>
        <w:trPr/>
        <w:tc>
          <w:tcPr>
            <w:tcW w:w="4320" w:type="dxa"/>
            <w:tcBorders/>
          </w:tcPr>
          <w:p>
            <w:pPr>
              <w:pStyle w:val="Normal"/>
              <w:spacing w:before="0" w:after="0"/>
              <w:rPr/>
            </w:pPr>
            <w:r>
              <w:rPr>
                <w:sz w:val="16"/>
              </w:rPr>
              <w:t>KS</w:t>
            </w:r>
          </w:p>
        </w:tc>
        <w:tc>
          <w:tcPr>
            <w:tcW w:w="4319" w:type="dxa"/>
            <w:tcBorders/>
          </w:tcPr>
          <w:p>
            <w:pPr>
              <w:pStyle w:val="Normal"/>
              <w:spacing w:before="0" w:after="0"/>
              <w:rPr/>
            </w:pPr>
            <w:r>
              <w:rPr>
                <w:sz w:val="16"/>
              </w:rPr>
              <w:t>Kansas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Kentucky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Louisiana</w:t>
            </w:r>
          </w:p>
        </w:tc>
      </w:tr>
      <w:tr>
        <w:trPr/>
        <w:tc>
          <w:tcPr>
            <w:tcW w:w="4320" w:type="dxa"/>
            <w:tcBorders/>
          </w:tcPr>
          <w:p>
            <w:pPr>
              <w:pStyle w:val="Normal"/>
              <w:spacing w:before="0" w:after="0"/>
              <w:rPr/>
            </w:pPr>
            <w:r>
              <w:rPr>
                <w:sz w:val="16"/>
              </w:rPr>
              <w:t>MA</w:t>
            </w:r>
          </w:p>
        </w:tc>
        <w:tc>
          <w:tcPr>
            <w:tcW w:w="4319" w:type="dxa"/>
            <w:tcBorders/>
          </w:tcPr>
          <w:p>
            <w:pPr>
              <w:pStyle w:val="Normal"/>
              <w:spacing w:before="0" w:after="0"/>
              <w:rPr/>
            </w:pPr>
            <w:r>
              <w:rPr>
                <w:sz w:val="16"/>
              </w:rPr>
              <w:t>Massachusetts</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Maryland</w:t>
            </w:r>
          </w:p>
        </w:tc>
      </w:tr>
      <w:tr>
        <w:trPr/>
        <w:tc>
          <w:tcPr>
            <w:tcW w:w="4320" w:type="dxa"/>
            <w:tcBorders/>
          </w:tcPr>
          <w:p>
            <w:pPr>
              <w:pStyle w:val="Normal"/>
              <w:spacing w:before="0" w:after="0"/>
              <w:rPr/>
            </w:pPr>
            <w:r>
              <w:rPr>
                <w:sz w:val="16"/>
              </w:rPr>
              <w:t>ME</w:t>
            </w:r>
          </w:p>
        </w:tc>
        <w:tc>
          <w:tcPr>
            <w:tcW w:w="4319" w:type="dxa"/>
            <w:tcBorders/>
          </w:tcPr>
          <w:p>
            <w:pPr>
              <w:pStyle w:val="Normal"/>
              <w:spacing w:before="0" w:after="0"/>
              <w:rPr/>
            </w:pPr>
            <w:r>
              <w:rPr>
                <w:sz w:val="16"/>
              </w:rPr>
              <w:t>Maine</w:t>
            </w:r>
          </w:p>
        </w:tc>
      </w:tr>
      <w:tr>
        <w:trPr/>
        <w:tc>
          <w:tcPr>
            <w:tcW w:w="4320" w:type="dxa"/>
            <w:tcBorders/>
          </w:tcPr>
          <w:p>
            <w:pPr>
              <w:pStyle w:val="Normal"/>
              <w:spacing w:before="0" w:after="0"/>
              <w:rPr/>
            </w:pPr>
            <w:r>
              <w:rPr>
                <w:sz w:val="16"/>
              </w:rPr>
              <w:t>MI</w:t>
            </w:r>
          </w:p>
        </w:tc>
        <w:tc>
          <w:tcPr>
            <w:tcW w:w="4319" w:type="dxa"/>
            <w:tcBorders/>
          </w:tcPr>
          <w:p>
            <w:pPr>
              <w:pStyle w:val="Normal"/>
              <w:spacing w:before="0" w:after="0"/>
              <w:rPr/>
            </w:pPr>
            <w:r>
              <w:rPr>
                <w:sz w:val="16"/>
              </w:rPr>
              <w:t>Michigan</w:t>
            </w:r>
          </w:p>
        </w:tc>
      </w:tr>
      <w:tr>
        <w:trPr/>
        <w:tc>
          <w:tcPr>
            <w:tcW w:w="4320" w:type="dxa"/>
            <w:tcBorders/>
          </w:tcPr>
          <w:p>
            <w:pPr>
              <w:pStyle w:val="Normal"/>
              <w:spacing w:before="0" w:after="0"/>
              <w:rPr/>
            </w:pPr>
            <w:r>
              <w:rPr>
                <w:sz w:val="16"/>
              </w:rPr>
              <w:t>MN</w:t>
            </w:r>
          </w:p>
        </w:tc>
        <w:tc>
          <w:tcPr>
            <w:tcW w:w="4319" w:type="dxa"/>
            <w:tcBorders/>
          </w:tcPr>
          <w:p>
            <w:pPr>
              <w:pStyle w:val="Normal"/>
              <w:spacing w:before="0" w:after="0"/>
              <w:rPr/>
            </w:pPr>
            <w:r>
              <w:rPr>
                <w:sz w:val="16"/>
              </w:rPr>
              <w:t>Minnesota</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Missouri</w:t>
            </w:r>
          </w:p>
        </w:tc>
      </w:tr>
      <w:tr>
        <w:trPr/>
        <w:tc>
          <w:tcPr>
            <w:tcW w:w="4320" w:type="dxa"/>
            <w:tcBorders/>
          </w:tcPr>
          <w:p>
            <w:pPr>
              <w:pStyle w:val="Normal"/>
              <w:spacing w:before="0" w:after="0"/>
              <w:rPr/>
            </w:pPr>
            <w:r>
              <w:rPr>
                <w:sz w:val="16"/>
              </w:rPr>
              <w:t>MS</w:t>
            </w:r>
          </w:p>
        </w:tc>
        <w:tc>
          <w:tcPr>
            <w:tcW w:w="4319" w:type="dxa"/>
            <w:tcBorders/>
          </w:tcPr>
          <w:p>
            <w:pPr>
              <w:pStyle w:val="Normal"/>
              <w:spacing w:before="0" w:after="0"/>
              <w:rPr/>
            </w:pPr>
            <w:r>
              <w:rPr>
                <w:sz w:val="16"/>
              </w:rPr>
              <w:t>Mississippi</w:t>
            </w:r>
          </w:p>
        </w:tc>
      </w:tr>
      <w:tr>
        <w:trPr/>
        <w:tc>
          <w:tcPr>
            <w:tcW w:w="4320" w:type="dxa"/>
            <w:tcBorders/>
          </w:tcPr>
          <w:p>
            <w:pPr>
              <w:pStyle w:val="Normal"/>
              <w:spacing w:before="0" w:after="0"/>
              <w:rPr/>
            </w:pPr>
            <w:r>
              <w:rPr>
                <w:sz w:val="16"/>
              </w:rPr>
              <w:t>MT</w:t>
            </w:r>
          </w:p>
        </w:tc>
        <w:tc>
          <w:tcPr>
            <w:tcW w:w="4319" w:type="dxa"/>
            <w:tcBorders/>
          </w:tcPr>
          <w:p>
            <w:pPr>
              <w:pStyle w:val="Normal"/>
              <w:spacing w:before="0" w:after="0"/>
              <w:rPr/>
            </w:pPr>
            <w:r>
              <w:rPr>
                <w:sz w:val="16"/>
              </w:rPr>
              <w:t>Montana</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North Carolina</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North Dakota</w:t>
            </w:r>
          </w:p>
        </w:tc>
      </w:tr>
      <w:tr>
        <w:trPr/>
        <w:tc>
          <w:tcPr>
            <w:tcW w:w="4320" w:type="dxa"/>
            <w:tcBorders/>
          </w:tcPr>
          <w:p>
            <w:pPr>
              <w:pStyle w:val="Normal"/>
              <w:spacing w:before="0" w:after="0"/>
              <w:rPr/>
            </w:pPr>
            <w:r>
              <w:rPr>
                <w:sz w:val="16"/>
              </w:rPr>
              <w:t>NE</w:t>
            </w:r>
          </w:p>
        </w:tc>
        <w:tc>
          <w:tcPr>
            <w:tcW w:w="4319" w:type="dxa"/>
            <w:tcBorders/>
          </w:tcPr>
          <w:p>
            <w:pPr>
              <w:pStyle w:val="Normal"/>
              <w:spacing w:before="0" w:after="0"/>
              <w:rPr/>
            </w:pPr>
            <w:r>
              <w:rPr>
                <w:sz w:val="16"/>
              </w:rPr>
              <w:t>Nebraska</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New Hampshire</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New Jersey</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New Mexico</w:t>
            </w:r>
          </w:p>
        </w:tc>
      </w:tr>
      <w:tr>
        <w:trPr/>
        <w:tc>
          <w:tcPr>
            <w:tcW w:w="4320" w:type="dxa"/>
            <w:tcBorders/>
          </w:tcPr>
          <w:p>
            <w:pPr>
              <w:pStyle w:val="Normal"/>
              <w:spacing w:before="0" w:after="0"/>
              <w:rPr/>
            </w:pPr>
            <w:r>
              <w:rPr>
                <w:sz w:val="16"/>
              </w:rPr>
              <w:t>NV</w:t>
            </w:r>
          </w:p>
        </w:tc>
        <w:tc>
          <w:tcPr>
            <w:tcW w:w="4319" w:type="dxa"/>
            <w:tcBorders/>
          </w:tcPr>
          <w:p>
            <w:pPr>
              <w:pStyle w:val="Normal"/>
              <w:spacing w:before="0" w:after="0"/>
              <w:rPr/>
            </w:pPr>
            <w:r>
              <w:rPr>
                <w:sz w:val="16"/>
              </w:rPr>
              <w:t>Nevada</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New York</w:t>
            </w:r>
          </w:p>
        </w:tc>
      </w:tr>
      <w:tr>
        <w:trPr/>
        <w:tc>
          <w:tcPr>
            <w:tcW w:w="4320" w:type="dxa"/>
            <w:tcBorders/>
          </w:tcPr>
          <w:p>
            <w:pPr>
              <w:pStyle w:val="Normal"/>
              <w:spacing w:before="0" w:after="0"/>
              <w:rPr/>
            </w:pPr>
            <w:r>
              <w:rPr>
                <w:sz w:val="16"/>
              </w:rPr>
              <w:t>OH</w:t>
            </w:r>
          </w:p>
        </w:tc>
        <w:tc>
          <w:tcPr>
            <w:tcW w:w="4319" w:type="dxa"/>
            <w:tcBorders/>
          </w:tcPr>
          <w:p>
            <w:pPr>
              <w:pStyle w:val="Normal"/>
              <w:spacing w:before="0" w:after="0"/>
              <w:rPr/>
            </w:pPr>
            <w:r>
              <w:rPr>
                <w:sz w:val="16"/>
              </w:rPr>
              <w:t>Ohio</w:t>
            </w:r>
          </w:p>
        </w:tc>
      </w:tr>
      <w:tr>
        <w:trPr/>
        <w:tc>
          <w:tcPr>
            <w:tcW w:w="4320" w:type="dxa"/>
            <w:tcBorders/>
          </w:tcPr>
          <w:p>
            <w:pPr>
              <w:pStyle w:val="Normal"/>
              <w:spacing w:before="0" w:after="0"/>
              <w:rPr/>
            </w:pPr>
            <w:r>
              <w:rPr>
                <w:sz w:val="16"/>
              </w:rPr>
              <w:t>OK</w:t>
            </w:r>
          </w:p>
        </w:tc>
        <w:tc>
          <w:tcPr>
            <w:tcW w:w="4319" w:type="dxa"/>
            <w:tcBorders/>
          </w:tcPr>
          <w:p>
            <w:pPr>
              <w:pStyle w:val="Normal"/>
              <w:spacing w:before="0" w:after="0"/>
              <w:rPr/>
            </w:pPr>
            <w:r>
              <w:rPr>
                <w:sz w:val="16"/>
              </w:rPr>
              <w:t>Oklahoma</w:t>
            </w:r>
          </w:p>
        </w:tc>
      </w:tr>
      <w:tr>
        <w:trPr/>
        <w:tc>
          <w:tcPr>
            <w:tcW w:w="4320" w:type="dxa"/>
            <w:tcBorders/>
          </w:tcPr>
          <w:p>
            <w:pPr>
              <w:pStyle w:val="Normal"/>
              <w:spacing w:before="0" w:after="0"/>
              <w:rPr/>
            </w:pPr>
            <w:r>
              <w:rPr>
                <w:sz w:val="16"/>
              </w:rPr>
              <w:t>OR</w:t>
            </w:r>
          </w:p>
        </w:tc>
        <w:tc>
          <w:tcPr>
            <w:tcW w:w="4319" w:type="dxa"/>
            <w:tcBorders/>
          </w:tcPr>
          <w:p>
            <w:pPr>
              <w:pStyle w:val="Normal"/>
              <w:spacing w:before="0" w:after="0"/>
              <w:rPr/>
            </w:pPr>
            <w:r>
              <w:rPr>
                <w:sz w:val="16"/>
              </w:rPr>
              <w:t>Oregon</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Pennsylvania</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Rhode Island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South Carolina</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South Dakota</w:t>
            </w:r>
          </w:p>
        </w:tc>
      </w:tr>
      <w:tr>
        <w:trPr/>
        <w:tc>
          <w:tcPr>
            <w:tcW w:w="4320" w:type="dxa"/>
            <w:tcBorders/>
          </w:tcPr>
          <w:p>
            <w:pPr>
              <w:pStyle w:val="Normal"/>
              <w:spacing w:before="0" w:after="0"/>
              <w:rPr/>
            </w:pPr>
            <w:r>
              <w:rPr>
                <w:sz w:val="16"/>
              </w:rPr>
              <w:t>TN</w:t>
            </w:r>
          </w:p>
        </w:tc>
        <w:tc>
          <w:tcPr>
            <w:tcW w:w="4319" w:type="dxa"/>
            <w:tcBorders/>
          </w:tcPr>
          <w:p>
            <w:pPr>
              <w:pStyle w:val="Normal"/>
              <w:spacing w:before="0" w:after="0"/>
              <w:rPr/>
            </w:pPr>
            <w:r>
              <w:rPr>
                <w:sz w:val="16"/>
              </w:rPr>
              <w:t>Tennessee</w:t>
            </w:r>
          </w:p>
        </w:tc>
      </w:tr>
      <w:tr>
        <w:trPr/>
        <w:tc>
          <w:tcPr>
            <w:tcW w:w="4320" w:type="dxa"/>
            <w:tcBorders/>
          </w:tcPr>
          <w:p>
            <w:pPr>
              <w:pStyle w:val="Normal"/>
              <w:spacing w:before="0" w:after="0"/>
              <w:rPr/>
            </w:pPr>
            <w:r>
              <w:rPr>
                <w:sz w:val="16"/>
              </w:rPr>
              <w:t>TX</w:t>
            </w:r>
          </w:p>
        </w:tc>
        <w:tc>
          <w:tcPr>
            <w:tcW w:w="4319" w:type="dxa"/>
            <w:tcBorders/>
          </w:tcPr>
          <w:p>
            <w:pPr>
              <w:pStyle w:val="Normal"/>
              <w:spacing w:before="0" w:after="0"/>
              <w:rPr/>
            </w:pPr>
            <w:r>
              <w:rPr>
                <w:sz w:val="16"/>
              </w:rPr>
              <w:t>Texas</w:t>
            </w:r>
          </w:p>
        </w:tc>
      </w:tr>
      <w:tr>
        <w:trPr/>
        <w:tc>
          <w:tcPr>
            <w:tcW w:w="4320" w:type="dxa"/>
            <w:tcBorders/>
          </w:tcPr>
          <w:p>
            <w:pPr>
              <w:pStyle w:val="Normal"/>
              <w:spacing w:before="0" w:after="0"/>
              <w:rPr/>
            </w:pPr>
            <w:r>
              <w:rPr>
                <w:sz w:val="16"/>
              </w:rPr>
              <w:t>UT</w:t>
            </w:r>
          </w:p>
        </w:tc>
        <w:tc>
          <w:tcPr>
            <w:tcW w:w="4319" w:type="dxa"/>
            <w:tcBorders/>
          </w:tcPr>
          <w:p>
            <w:pPr>
              <w:pStyle w:val="Normal"/>
              <w:spacing w:before="0" w:after="0"/>
              <w:rPr/>
            </w:pPr>
            <w:r>
              <w:rPr>
                <w:sz w:val="16"/>
              </w:rPr>
              <w:t>Utah</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Virginia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Vermont</w:t>
            </w:r>
          </w:p>
        </w:tc>
      </w:tr>
      <w:tr>
        <w:trPr/>
        <w:tc>
          <w:tcPr>
            <w:tcW w:w="4320" w:type="dxa"/>
            <w:tcBorders/>
          </w:tcPr>
          <w:p>
            <w:pPr>
              <w:pStyle w:val="Normal"/>
              <w:spacing w:before="0" w:after="0"/>
              <w:rPr/>
            </w:pPr>
            <w:r>
              <w:rPr>
                <w:sz w:val="16"/>
              </w:rPr>
              <w:t>WA</w:t>
            </w:r>
          </w:p>
        </w:tc>
        <w:tc>
          <w:tcPr>
            <w:tcW w:w="4319" w:type="dxa"/>
            <w:tcBorders/>
          </w:tcPr>
          <w:p>
            <w:pPr>
              <w:pStyle w:val="Normal"/>
              <w:spacing w:before="0" w:after="0"/>
              <w:rPr/>
            </w:pPr>
            <w:r>
              <w:rPr>
                <w:sz w:val="16"/>
              </w:rPr>
              <w:t>Washington</w:t>
            </w:r>
          </w:p>
        </w:tc>
      </w:tr>
      <w:tr>
        <w:trPr/>
        <w:tc>
          <w:tcPr>
            <w:tcW w:w="4320" w:type="dxa"/>
            <w:tcBorders/>
          </w:tcPr>
          <w:p>
            <w:pPr>
              <w:pStyle w:val="Normal"/>
              <w:spacing w:before="0" w:after="0"/>
              <w:rPr/>
            </w:pPr>
            <w:r>
              <w:rPr>
                <w:sz w:val="16"/>
              </w:rPr>
              <w:t>WI</w:t>
            </w:r>
          </w:p>
        </w:tc>
        <w:tc>
          <w:tcPr>
            <w:tcW w:w="4319" w:type="dxa"/>
            <w:tcBorders/>
          </w:tcPr>
          <w:p>
            <w:pPr>
              <w:pStyle w:val="Normal"/>
              <w:spacing w:before="0" w:after="0"/>
              <w:rPr/>
            </w:pPr>
            <w:r>
              <w:rPr>
                <w:sz w:val="16"/>
              </w:rPr>
              <w:t>Wisconsin</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West Virginia</w:t>
            </w:r>
          </w:p>
        </w:tc>
      </w:tr>
      <w:tr>
        <w:trPr/>
        <w:tc>
          <w:tcPr>
            <w:tcW w:w="4320" w:type="dxa"/>
            <w:tcBorders/>
          </w:tcPr>
          <w:p>
            <w:pPr>
              <w:pStyle w:val="Normal"/>
              <w:spacing w:before="0" w:after="0"/>
              <w:rPr/>
            </w:pPr>
            <w:r>
              <w:rPr>
                <w:sz w:val="16"/>
              </w:rPr>
              <w:t>WY</w:t>
            </w:r>
          </w:p>
        </w:tc>
        <w:tc>
          <w:tcPr>
            <w:tcW w:w="4319" w:type="dxa"/>
            <w:tcBorders/>
          </w:tcPr>
          <w:p>
            <w:pPr>
              <w:pStyle w:val="Normal"/>
              <w:spacing w:before="0" w:after="0"/>
              <w:rPr/>
            </w:pPr>
            <w:r>
              <w:rPr>
                <w:sz w:val="16"/>
              </w:rPr>
              <w:t>Wyoming</w:t>
            </w:r>
          </w:p>
        </w:tc>
      </w:tr>
    </w:tbl>
    <w:p>
      <w:pPr>
        <w:pStyle w:val="Heading3"/>
        <w:rPr/>
      </w:pPr>
      <w:r>
        <w:t>State aliases and legacy abbreviations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State code</w:t>
            </w:r>
          </w:p>
        </w:tc>
      </w:tr>
      <w:tr>
        <w:trPr/>
        <w:tc>
          <w:tcPr>
            <w:tcW w:w="4320" w:type="dxa"/>
            <w:tcBorders/>
          </w:tcPr>
          <w:p>
            <w:pPr>
              <w:pStyle w:val="Normal"/>
              <w:spacing w:before="0" w:after="0"/>
              <w:rPr/>
            </w:pPr>
            <w:r>
              <w:rPr>
                <w:sz w:val="16"/>
              </w:rPr>
              <w:t>ala</w:t>
            </w:r>
          </w:p>
        </w:tc>
        <w:tc>
          <w:tcPr>
            <w:tcW w:w="4319" w:type="dxa"/>
            <w:tcBorders/>
          </w:tcPr>
          <w:p>
            <w:pPr>
              <w:pStyle w:val="Normal"/>
              <w:spacing w:before="0" w:after="0"/>
              <w:rPr/>
            </w:pPr>
            <w:r>
              <w:rPr>
                <w:sz w:val="16"/>
              </w:rPr>
              <w:t>AL</w:t>
            </w:r>
          </w:p>
        </w:tc>
      </w:tr>
      <w:tr>
        <w:trPr/>
        <w:tc>
          <w:tcPr>
            <w:tcW w:w="4320" w:type="dxa"/>
            <w:tcBorders/>
          </w:tcPr>
          <w:p>
            <w:pPr>
              <w:pStyle w:val="Normal"/>
              <w:spacing w:before="0" w:after="0"/>
              <w:rPr/>
            </w:pPr>
            <w:r>
              <w:rPr>
                <w:sz w:val="16"/>
              </w:rPr>
              <w:t>alaska</w:t>
            </w:r>
          </w:p>
        </w:tc>
        <w:tc>
          <w:tcPr>
            <w:tcW w:w="4319" w:type="dxa"/>
            <w:tcBorders/>
          </w:tcPr>
          <w:p>
            <w:pPr>
              <w:pStyle w:val="Normal"/>
              <w:spacing w:before="0" w:after="0"/>
              <w:rPr/>
            </w:pPr>
            <w:r>
              <w:rPr>
                <w:sz w:val="16"/>
              </w:rPr>
              <w:t>AK</w:t>
            </w:r>
          </w:p>
        </w:tc>
      </w:tr>
      <w:tr>
        <w:trPr/>
        <w:tc>
          <w:tcPr>
            <w:tcW w:w="4320" w:type="dxa"/>
            <w:tcBorders/>
          </w:tcPr>
          <w:p>
            <w:pPr>
              <w:pStyle w:val="Normal"/>
              <w:spacing w:before="0" w:after="0"/>
              <w:rPr/>
            </w:pPr>
            <w:r>
              <w:rPr>
                <w:sz w:val="16"/>
              </w:rPr>
              <w:t>ariz</w:t>
            </w:r>
          </w:p>
        </w:tc>
        <w:tc>
          <w:tcPr>
            <w:tcW w:w="4319" w:type="dxa"/>
            <w:tcBorders/>
          </w:tcPr>
          <w:p>
            <w:pPr>
              <w:pStyle w:val="Normal"/>
              <w:spacing w:before="0" w:after="0"/>
              <w:rPr/>
            </w:pPr>
            <w:r>
              <w:rPr>
                <w:sz w:val="16"/>
              </w:rPr>
              <w:t>AZ</w:t>
            </w:r>
          </w:p>
        </w:tc>
      </w:tr>
      <w:tr>
        <w:trPr/>
        <w:tc>
          <w:tcPr>
            <w:tcW w:w="4320" w:type="dxa"/>
            <w:tcBorders/>
          </w:tcPr>
          <w:p>
            <w:pPr>
              <w:pStyle w:val="Normal"/>
              <w:spacing w:before="0" w:after="0"/>
              <w:rPr/>
            </w:pPr>
            <w:r>
              <w:rPr>
                <w:sz w:val="16"/>
              </w:rPr>
              <w:t>ark</w:t>
            </w:r>
          </w:p>
        </w:tc>
        <w:tc>
          <w:tcPr>
            <w:tcW w:w="4319" w:type="dxa"/>
            <w:tcBorders/>
          </w:tcPr>
          <w:p>
            <w:pPr>
              <w:pStyle w:val="Normal"/>
              <w:spacing w:before="0" w:after="0"/>
              <w:rPr/>
            </w:pPr>
            <w:r>
              <w:rPr>
                <w:sz w:val="16"/>
              </w:rPr>
              <w:t>AR</w:t>
            </w:r>
          </w:p>
        </w:tc>
      </w:tr>
      <w:tr>
        <w:trPr/>
        <w:tc>
          <w:tcPr>
            <w:tcW w:w="4320" w:type="dxa"/>
            <w:tcBorders/>
          </w:tcPr>
          <w:p>
            <w:pPr>
              <w:pStyle w:val="Normal"/>
              <w:spacing w:before="0" w:after="0"/>
              <w:rPr/>
            </w:pPr>
            <w:r>
              <w:rPr>
                <w:sz w:val="16"/>
              </w:rPr>
              <w:t>calif</w:t>
            </w:r>
          </w:p>
        </w:tc>
        <w:tc>
          <w:tcPr>
            <w:tcW w:w="4319" w:type="dxa"/>
            <w:tcBorders/>
          </w:tcPr>
          <w:p>
            <w:pPr>
              <w:pStyle w:val="Normal"/>
              <w:spacing w:before="0" w:after="0"/>
              <w:rPr/>
            </w:pPr>
            <w:r>
              <w:rPr>
                <w:sz w:val="16"/>
              </w:rPr>
              <w:t>CA</w:t>
            </w:r>
          </w:p>
        </w:tc>
      </w:tr>
      <w:tr>
        <w:trPr/>
        <w:tc>
          <w:tcPr>
            <w:tcW w:w="4320" w:type="dxa"/>
            <w:tcBorders/>
          </w:tcPr>
          <w:p>
            <w:pPr>
              <w:pStyle w:val="Normal"/>
              <w:spacing w:before="0" w:after="0"/>
              <w:rPr/>
            </w:pPr>
            <w:r>
              <w:rPr>
                <w:sz w:val="16"/>
              </w:rPr>
              <w:t>colo</w:t>
            </w:r>
          </w:p>
        </w:tc>
        <w:tc>
          <w:tcPr>
            <w:tcW w:w="4319" w:type="dxa"/>
            <w:tcBorders/>
          </w:tcPr>
          <w:p>
            <w:pPr>
              <w:pStyle w:val="Normal"/>
              <w:spacing w:before="0" w:after="0"/>
              <w:rPr/>
            </w:pPr>
            <w:r>
              <w:rPr>
                <w:sz w:val="16"/>
              </w:rPr>
              <w:t>CO</w:t>
            </w:r>
          </w:p>
        </w:tc>
      </w:tr>
      <w:tr>
        <w:trPr/>
        <w:tc>
          <w:tcPr>
            <w:tcW w:w="4320" w:type="dxa"/>
            <w:tcBorders/>
          </w:tcPr>
          <w:p>
            <w:pPr>
              <w:pStyle w:val="Normal"/>
              <w:spacing w:before="0" w:after="0"/>
              <w:rPr/>
            </w:pPr>
            <w:r>
              <w:rPr>
                <w:sz w:val="16"/>
              </w:rPr>
              <w:t>conn</w:t>
            </w:r>
          </w:p>
        </w:tc>
        <w:tc>
          <w:tcPr>
            <w:tcW w:w="4319" w:type="dxa"/>
            <w:tcBorders/>
          </w:tcPr>
          <w:p>
            <w:pPr>
              <w:pStyle w:val="Normal"/>
              <w:spacing w:before="0" w:after="0"/>
              <w:rPr/>
            </w:pPr>
            <w:r>
              <w:rPr>
                <w:sz w:val="16"/>
              </w:rPr>
              <w:t>CT</w:t>
            </w:r>
          </w:p>
        </w:tc>
      </w:tr>
      <w:tr>
        <w:trPr/>
        <w:tc>
          <w:tcPr>
            <w:tcW w:w="4320" w:type="dxa"/>
            <w:tcBorders/>
          </w:tcPr>
          <w:p>
            <w:pPr>
              <w:pStyle w:val="Normal"/>
              <w:spacing w:before="0" w:after="0"/>
              <w:rPr/>
            </w:pPr>
            <w:r>
              <w:rPr>
                <w:sz w:val="16"/>
              </w:rPr>
              <w:t>d 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del</w:t>
            </w:r>
          </w:p>
        </w:tc>
        <w:tc>
          <w:tcPr>
            <w:tcW w:w="4319" w:type="dxa"/>
            <w:tcBorders/>
          </w:tcPr>
          <w:p>
            <w:pPr>
              <w:pStyle w:val="Normal"/>
              <w:spacing w:before="0" w:after="0"/>
              <w:rPr/>
            </w:pPr>
            <w:r>
              <w:rPr>
                <w:sz w:val="16"/>
              </w:rPr>
              <w:t>DE</w:t>
            </w:r>
          </w:p>
        </w:tc>
      </w:tr>
      <w:tr>
        <w:trPr/>
        <w:tc>
          <w:tcPr>
            <w:tcW w:w="4320" w:type="dxa"/>
            <w:tcBorders/>
          </w:tcPr>
          <w:p>
            <w:pPr>
              <w:pStyle w:val="Normal"/>
              <w:spacing w:before="0" w:after="0"/>
              <w:rPr/>
            </w:pPr>
            <w:r>
              <w:rPr>
                <w:sz w:val="16"/>
              </w:rPr>
              <w:t>fla</w:t>
            </w:r>
          </w:p>
        </w:tc>
        <w:tc>
          <w:tcPr>
            <w:tcW w:w="4319" w:type="dxa"/>
            <w:tcBorders/>
          </w:tcPr>
          <w:p>
            <w:pPr>
              <w:pStyle w:val="Normal"/>
              <w:spacing w:before="0" w:after="0"/>
              <w:rPr/>
            </w:pPr>
            <w:r>
              <w:rPr>
                <w:sz w:val="16"/>
              </w:rPr>
              <w:t>FL</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GA</w:t>
            </w:r>
          </w:p>
        </w:tc>
      </w:tr>
      <w:tr>
        <w:trPr/>
        <w:tc>
          <w:tcPr>
            <w:tcW w:w="4320" w:type="dxa"/>
            <w:tcBorders/>
          </w:tcPr>
          <w:p>
            <w:pPr>
              <w:pStyle w:val="Normal"/>
              <w:spacing w:before="0" w:after="0"/>
              <w:rPr/>
            </w:pPr>
            <w:r>
              <w:rPr>
                <w:sz w:val="16"/>
              </w:rPr>
              <w:t>hawaii</w:t>
            </w:r>
          </w:p>
        </w:tc>
        <w:tc>
          <w:tcPr>
            <w:tcW w:w="4319" w:type="dxa"/>
            <w:tcBorders/>
          </w:tcPr>
          <w:p>
            <w:pPr>
              <w:pStyle w:val="Normal"/>
              <w:spacing w:before="0" w:after="0"/>
              <w:rPr/>
            </w:pPr>
            <w:r>
              <w:rPr>
                <w:sz w:val="16"/>
              </w:rPr>
              <w:t>HI</w:t>
            </w:r>
          </w:p>
        </w:tc>
      </w:tr>
      <w:tr>
        <w:trPr/>
        <w:tc>
          <w:tcPr>
            <w:tcW w:w="4320" w:type="dxa"/>
            <w:tcBorders/>
          </w:tcPr>
          <w:p>
            <w:pPr>
              <w:pStyle w:val="Normal"/>
              <w:spacing w:before="0" w:after="0"/>
              <w:rPr/>
            </w:pPr>
            <w:r>
              <w:rPr>
                <w:sz w:val="16"/>
              </w:rPr>
              <w:t>ida</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idaho</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ill</w:t>
            </w:r>
          </w:p>
        </w:tc>
        <w:tc>
          <w:tcPr>
            <w:tcW w:w="4319" w:type="dxa"/>
            <w:tcBorders/>
          </w:tcPr>
          <w:p>
            <w:pPr>
              <w:pStyle w:val="Normal"/>
              <w:spacing w:before="0" w:after="0"/>
              <w:rPr/>
            </w:pPr>
            <w:r>
              <w:rPr>
                <w:sz w:val="16"/>
              </w:rPr>
              <w:t>IL</w:t>
            </w:r>
          </w:p>
        </w:tc>
      </w:tr>
      <w:tr>
        <w:trPr/>
        <w:tc>
          <w:tcPr>
            <w:tcW w:w="4320" w:type="dxa"/>
            <w:tcBorders/>
          </w:tcPr>
          <w:p>
            <w:pPr>
              <w:pStyle w:val="Normal"/>
              <w:spacing w:before="0" w:after="0"/>
              <w:rPr/>
            </w:pPr>
            <w:r>
              <w:rPr>
                <w:sz w:val="16"/>
              </w:rPr>
              <w:t>ind</w:t>
            </w:r>
          </w:p>
        </w:tc>
        <w:tc>
          <w:tcPr>
            <w:tcW w:w="4319" w:type="dxa"/>
            <w:tcBorders/>
          </w:tcPr>
          <w:p>
            <w:pPr>
              <w:pStyle w:val="Normal"/>
              <w:spacing w:before="0" w:after="0"/>
              <w:rPr/>
            </w:pPr>
            <w:r>
              <w:rPr>
                <w:sz w:val="16"/>
              </w:rPr>
              <w:t>IN</w:t>
            </w:r>
          </w:p>
        </w:tc>
      </w:tr>
      <w:tr>
        <w:trPr/>
        <w:tc>
          <w:tcPr>
            <w:tcW w:w="4320" w:type="dxa"/>
            <w:tcBorders/>
          </w:tcPr>
          <w:p>
            <w:pPr>
              <w:pStyle w:val="Normal"/>
              <w:spacing w:before="0" w:after="0"/>
              <w:rPr/>
            </w:pPr>
            <w:r>
              <w:rPr>
                <w:sz w:val="16"/>
              </w:rPr>
              <w:t>iowa</w:t>
            </w:r>
          </w:p>
        </w:tc>
        <w:tc>
          <w:tcPr>
            <w:tcW w:w="4319" w:type="dxa"/>
            <w:tcBorders/>
          </w:tcPr>
          <w:p>
            <w:pPr>
              <w:pStyle w:val="Normal"/>
              <w:spacing w:before="0" w:after="0"/>
              <w:rPr/>
            </w:pPr>
            <w:r>
              <w:rPr>
                <w:sz w:val="16"/>
              </w:rPr>
              <w:t>IA</w:t>
            </w:r>
          </w:p>
        </w:tc>
      </w:tr>
      <w:tr>
        <w:trPr/>
        <w:tc>
          <w:tcPr>
            <w:tcW w:w="4320" w:type="dxa"/>
            <w:tcBorders/>
          </w:tcPr>
          <w:p>
            <w:pPr>
              <w:pStyle w:val="Normal"/>
              <w:spacing w:before="0" w:after="0"/>
              <w:rPr/>
            </w:pPr>
            <w:r>
              <w:rPr>
                <w:sz w:val="16"/>
              </w:rPr>
              <w:t>kans</w:t>
            </w:r>
          </w:p>
        </w:tc>
        <w:tc>
          <w:tcPr>
            <w:tcW w:w="4319" w:type="dxa"/>
            <w:tcBorders/>
          </w:tcPr>
          <w:p>
            <w:pPr>
              <w:pStyle w:val="Normal"/>
              <w:spacing w:before="0" w:after="0"/>
              <w:rPr/>
            </w:pPr>
            <w:r>
              <w:rPr>
                <w:sz w:val="16"/>
              </w:rPr>
              <w:t>KS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LA</w:t>
            </w:r>
          </w:p>
        </w:tc>
      </w:tr>
      <w:tr>
        <w:trPr/>
        <w:tc>
          <w:tcPr>
            <w:tcW w:w="4320" w:type="dxa"/>
            <w:tcBorders/>
          </w:tcPr>
          <w:p>
            <w:pPr>
              <w:pStyle w:val="Normal"/>
              <w:spacing w:before="0" w:after="0"/>
              <w:rPr/>
            </w:pPr>
            <w:r>
              <w:rPr>
                <w:sz w:val="16"/>
              </w:rPr>
              <w:t>maine</w:t>
            </w:r>
          </w:p>
        </w:tc>
        <w:tc>
          <w:tcPr>
            <w:tcW w:w="4319" w:type="dxa"/>
            <w:tcBorders/>
          </w:tcPr>
          <w:p>
            <w:pPr>
              <w:pStyle w:val="Normal"/>
              <w:spacing w:before="0" w:after="0"/>
              <w:rPr/>
            </w:pPr>
            <w:r>
              <w:rPr>
                <w:sz w:val="16"/>
              </w:rPr>
              <w:t>ME</w:t>
            </w:r>
          </w:p>
        </w:tc>
      </w:tr>
      <w:tr>
        <w:trPr/>
        <w:tc>
          <w:tcPr>
            <w:tcW w:w="4320" w:type="dxa"/>
            <w:tcBorders/>
          </w:tcPr>
          <w:p>
            <w:pPr>
              <w:pStyle w:val="Normal"/>
              <w:spacing w:before="0" w:after="0"/>
              <w:rPr/>
            </w:pPr>
            <w:r>
              <w:rPr>
                <w:sz w:val="16"/>
              </w:rPr>
              <w:t>mass</w:t>
            </w:r>
          </w:p>
        </w:tc>
        <w:tc>
          <w:tcPr>
            <w:tcW w:w="4319" w:type="dxa"/>
            <w:tcBorders/>
          </w:tcPr>
          <w:p>
            <w:pPr>
              <w:pStyle w:val="Normal"/>
              <w:spacing w:before="0" w:after="0"/>
              <w:rPr/>
            </w:pPr>
            <w:r>
              <w:rPr>
                <w:sz w:val="16"/>
              </w:rPr>
              <w:t>MA</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MD</w:t>
            </w:r>
          </w:p>
        </w:tc>
      </w:tr>
      <w:tr>
        <w:trPr/>
        <w:tc>
          <w:tcPr>
            <w:tcW w:w="4320" w:type="dxa"/>
            <w:tcBorders/>
          </w:tcPr>
          <w:p>
            <w:pPr>
              <w:pStyle w:val="Normal"/>
              <w:spacing w:before="0" w:after="0"/>
              <w:rPr/>
            </w:pPr>
            <w:r>
              <w:rPr>
                <w:sz w:val="16"/>
              </w:rPr>
              <w:t>mich</w:t>
            </w:r>
          </w:p>
        </w:tc>
        <w:tc>
          <w:tcPr>
            <w:tcW w:w="4319" w:type="dxa"/>
            <w:tcBorders/>
          </w:tcPr>
          <w:p>
            <w:pPr>
              <w:pStyle w:val="Normal"/>
              <w:spacing w:before="0" w:after="0"/>
              <w:rPr/>
            </w:pPr>
            <w:r>
              <w:rPr>
                <w:sz w:val="16"/>
              </w:rPr>
              <w:t>MI</w:t>
            </w:r>
          </w:p>
        </w:tc>
      </w:tr>
      <w:tr>
        <w:trPr/>
        <w:tc>
          <w:tcPr>
            <w:tcW w:w="4320" w:type="dxa"/>
            <w:tcBorders/>
          </w:tcPr>
          <w:p>
            <w:pPr>
              <w:pStyle w:val="Normal"/>
              <w:spacing w:before="0" w:after="0"/>
              <w:rPr/>
            </w:pPr>
            <w:r>
              <w:rPr>
                <w:sz w:val="16"/>
              </w:rPr>
              <w:t>minn</w:t>
            </w:r>
          </w:p>
        </w:tc>
        <w:tc>
          <w:tcPr>
            <w:tcW w:w="4319" w:type="dxa"/>
            <w:tcBorders/>
          </w:tcPr>
          <w:p>
            <w:pPr>
              <w:pStyle w:val="Normal"/>
              <w:spacing w:before="0" w:after="0"/>
              <w:rPr/>
            </w:pPr>
            <w:r>
              <w:rPr>
                <w:sz w:val="16"/>
              </w:rPr>
              <w:t>MN</w:t>
            </w:r>
          </w:p>
        </w:tc>
      </w:tr>
      <w:tr>
        <w:trPr/>
        <w:tc>
          <w:tcPr>
            <w:tcW w:w="4320" w:type="dxa"/>
            <w:tcBorders/>
          </w:tcPr>
          <w:p>
            <w:pPr>
              <w:pStyle w:val="Normal"/>
              <w:spacing w:before="0" w:after="0"/>
              <w:rPr/>
            </w:pPr>
            <w:r>
              <w:rPr>
                <w:sz w:val="16"/>
              </w:rPr>
              <w:t>miss</w:t>
            </w:r>
          </w:p>
        </w:tc>
        <w:tc>
          <w:tcPr>
            <w:tcW w:w="4319" w:type="dxa"/>
            <w:tcBorders/>
          </w:tcPr>
          <w:p>
            <w:pPr>
              <w:pStyle w:val="Normal"/>
              <w:spacing w:before="0" w:after="0"/>
              <w:rPr/>
            </w:pPr>
            <w:r>
              <w:rPr>
                <w:sz w:val="16"/>
              </w:rPr>
              <w:t>MS</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MO</w:t>
            </w:r>
          </w:p>
        </w:tc>
      </w:tr>
      <w:tr>
        <w:trPr/>
        <w:tc>
          <w:tcPr>
            <w:tcW w:w="4320" w:type="dxa"/>
            <w:tcBorders/>
          </w:tcPr>
          <w:p>
            <w:pPr>
              <w:pStyle w:val="Normal"/>
              <w:spacing w:before="0" w:after="0"/>
              <w:rPr/>
            </w:pPr>
            <w:r>
              <w:rPr>
                <w:sz w:val="16"/>
              </w:rPr>
              <w:t>mont</w:t>
            </w:r>
          </w:p>
        </w:tc>
        <w:tc>
          <w:tcPr>
            <w:tcW w:w="4319" w:type="dxa"/>
            <w:tcBorders/>
          </w:tcPr>
          <w:p>
            <w:pPr>
              <w:pStyle w:val="Normal"/>
              <w:spacing w:before="0" w:after="0"/>
              <w:rPr/>
            </w:pPr>
            <w:r>
              <w:rPr>
                <w:sz w:val="16"/>
              </w:rPr>
              <w:t>MT</w:t>
            </w:r>
          </w:p>
        </w:tc>
      </w:tr>
      <w:tr>
        <w:trPr/>
        <w:tc>
          <w:tcPr>
            <w:tcW w:w="4320" w:type="dxa"/>
            <w:tcBorders/>
          </w:tcPr>
          <w:p>
            <w:pPr>
              <w:pStyle w:val="Normal"/>
              <w:spacing w:before="0" w:after="0"/>
              <w:rPr/>
            </w:pPr>
            <w:r>
              <w:rPr>
                <w:sz w:val="16"/>
              </w:rPr>
              <w:t>n 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 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dak</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 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 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mex</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nebr</w:t>
            </w:r>
          </w:p>
        </w:tc>
        <w:tc>
          <w:tcPr>
            <w:tcW w:w="4319" w:type="dxa"/>
            <w:tcBorders/>
          </w:tcPr>
          <w:p>
            <w:pPr>
              <w:pStyle w:val="Normal"/>
              <w:spacing w:before="0" w:after="0"/>
              <w:rPr/>
            </w:pPr>
            <w:r>
              <w:rPr>
                <w:sz w:val="16"/>
              </w:rPr>
              <w:t>NE</w:t>
            </w:r>
          </w:p>
        </w:tc>
      </w:tr>
      <w:tr>
        <w:trPr/>
        <w:tc>
          <w:tcPr>
            <w:tcW w:w="4320" w:type="dxa"/>
            <w:tcBorders/>
          </w:tcPr>
          <w:p>
            <w:pPr>
              <w:pStyle w:val="Normal"/>
              <w:spacing w:before="0" w:after="0"/>
              <w:rPr/>
            </w:pPr>
            <w:r>
              <w:rPr>
                <w:sz w:val="16"/>
              </w:rPr>
              <w:t>nev</w:t>
            </w:r>
          </w:p>
        </w:tc>
        <w:tc>
          <w:tcPr>
            <w:tcW w:w="4319" w:type="dxa"/>
            <w:tcBorders/>
          </w:tcPr>
          <w:p>
            <w:pPr>
              <w:pStyle w:val="Normal"/>
              <w:spacing w:before="0" w:after="0"/>
              <w:rPr/>
            </w:pPr>
            <w:r>
              <w:rPr>
                <w:sz w:val="16"/>
              </w:rPr>
              <w:t>NV</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ohio</w:t>
            </w:r>
          </w:p>
        </w:tc>
        <w:tc>
          <w:tcPr>
            <w:tcW w:w="4319" w:type="dxa"/>
            <w:tcBorders/>
          </w:tcPr>
          <w:p>
            <w:pPr>
              <w:pStyle w:val="Normal"/>
              <w:spacing w:before="0" w:after="0"/>
              <w:rPr/>
            </w:pPr>
            <w:r>
              <w:rPr>
                <w:sz w:val="16"/>
              </w:rPr>
              <w:t>OH</w:t>
            </w:r>
          </w:p>
        </w:tc>
      </w:tr>
      <w:tr>
        <w:trPr/>
        <w:tc>
          <w:tcPr>
            <w:tcW w:w="4320" w:type="dxa"/>
            <w:tcBorders/>
          </w:tcPr>
          <w:p>
            <w:pPr>
              <w:pStyle w:val="Normal"/>
              <w:spacing w:before="0" w:after="0"/>
              <w:rPr/>
            </w:pPr>
            <w:r>
              <w:rPr>
                <w:sz w:val="16"/>
              </w:rPr>
              <w:t>okla</w:t>
            </w:r>
          </w:p>
        </w:tc>
        <w:tc>
          <w:tcPr>
            <w:tcW w:w="4319" w:type="dxa"/>
            <w:tcBorders/>
          </w:tcPr>
          <w:p>
            <w:pPr>
              <w:pStyle w:val="Normal"/>
              <w:spacing w:before="0" w:after="0"/>
              <w:rPr/>
            </w:pPr>
            <w:r>
              <w:rPr>
                <w:sz w:val="16"/>
              </w:rPr>
              <w:t>OK</w:t>
            </w:r>
          </w:p>
        </w:tc>
      </w:tr>
      <w:tr>
        <w:trPr/>
        <w:tc>
          <w:tcPr>
            <w:tcW w:w="4320" w:type="dxa"/>
            <w:tcBorders/>
          </w:tcPr>
          <w:p>
            <w:pPr>
              <w:pStyle w:val="Normal"/>
              <w:spacing w:before="0" w:after="0"/>
              <w:rPr/>
            </w:pPr>
            <w:r>
              <w:rPr>
                <w:sz w:val="16"/>
              </w:rPr>
              <w:t>oreg</w:t>
            </w:r>
          </w:p>
        </w:tc>
        <w:tc>
          <w:tcPr>
            <w:tcW w:w="4319" w:type="dxa"/>
            <w:tcBorders/>
          </w:tcPr>
          <w:p>
            <w:pPr>
              <w:pStyle w:val="Normal"/>
              <w:spacing w:before="0" w:after="0"/>
              <w:rPr/>
            </w:pPr>
            <w:r>
              <w:rPr>
                <w:sz w:val="16"/>
              </w:rPr>
              <w:t>OR</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r 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s 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 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 dak</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tenn</w:t>
            </w:r>
          </w:p>
        </w:tc>
        <w:tc>
          <w:tcPr>
            <w:tcW w:w="4319" w:type="dxa"/>
            <w:tcBorders/>
          </w:tcPr>
          <w:p>
            <w:pPr>
              <w:pStyle w:val="Normal"/>
              <w:spacing w:before="0" w:after="0"/>
              <w:rPr/>
            </w:pPr>
            <w:r>
              <w:rPr>
                <w:sz w:val="16"/>
              </w:rPr>
              <w:t>TN</w:t>
            </w:r>
          </w:p>
        </w:tc>
      </w:tr>
      <w:tr>
        <w:trPr/>
        <w:tc>
          <w:tcPr>
            <w:tcW w:w="4320" w:type="dxa"/>
            <w:tcBorders/>
          </w:tcPr>
          <w:p>
            <w:pPr>
              <w:pStyle w:val="Normal"/>
              <w:spacing w:before="0" w:after="0"/>
              <w:rPr/>
            </w:pPr>
            <w:r>
              <w:rPr>
                <w:sz w:val="16"/>
              </w:rPr>
              <w:t>tex</w:t>
            </w:r>
          </w:p>
        </w:tc>
        <w:tc>
          <w:tcPr>
            <w:tcW w:w="4319" w:type="dxa"/>
            <w:tcBorders/>
          </w:tcPr>
          <w:p>
            <w:pPr>
              <w:pStyle w:val="Normal"/>
              <w:spacing w:before="0" w:after="0"/>
              <w:rPr/>
            </w:pPr>
            <w:r>
              <w:rPr>
                <w:sz w:val="16"/>
              </w:rPr>
              <w:t>TX</w:t>
            </w:r>
          </w:p>
        </w:tc>
      </w:tr>
      <w:tr>
        <w:trPr/>
        <w:tc>
          <w:tcPr>
            <w:tcW w:w="4320" w:type="dxa"/>
            <w:tcBorders/>
          </w:tcPr>
          <w:p>
            <w:pPr>
              <w:pStyle w:val="Normal"/>
              <w:spacing w:before="0" w:after="0"/>
              <w:rPr/>
            </w:pPr>
            <w:r>
              <w:rPr>
                <w:sz w:val="16"/>
              </w:rPr>
              <w:t>utah</w:t>
            </w:r>
          </w:p>
        </w:tc>
        <w:tc>
          <w:tcPr>
            <w:tcW w:w="4319" w:type="dxa"/>
            <w:tcBorders/>
          </w:tcPr>
          <w:p>
            <w:pPr>
              <w:pStyle w:val="Normal"/>
              <w:spacing w:before="0" w:after="0"/>
              <w:rPr/>
            </w:pPr>
            <w:r>
              <w:rPr>
                <w:sz w:val="16"/>
              </w:rPr>
              <w:t>UT</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VT</w:t>
            </w:r>
          </w:p>
        </w:tc>
      </w:tr>
      <w:tr>
        <w:trPr/>
        <w:tc>
          <w:tcPr>
            <w:tcW w:w="4320" w:type="dxa"/>
            <w:tcBorders/>
          </w:tcPr>
          <w:p>
            <w:pPr>
              <w:pStyle w:val="Normal"/>
              <w:spacing w:before="0" w:after="0"/>
              <w:rPr/>
            </w:pPr>
            <w:r>
              <w:rPr>
                <w:sz w:val="16"/>
              </w:rPr>
              <w:t>w va</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 virg</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wash</w:t>
            </w:r>
          </w:p>
        </w:tc>
        <w:tc>
          <w:tcPr>
            <w:tcW w:w="4319" w:type="dxa"/>
            <w:tcBorders/>
          </w:tcPr>
          <w:p>
            <w:pPr>
              <w:pStyle w:val="Normal"/>
              <w:spacing w:before="0" w:after="0"/>
              <w:rPr/>
            </w:pPr>
            <w:r>
              <w:rPr>
                <w:sz w:val="16"/>
              </w:rPr>
              <w:t>WA</w:t>
            </w:r>
          </w:p>
        </w:tc>
      </w:tr>
      <w:tr>
        <w:trPr/>
        <w:tc>
          <w:tcPr>
            <w:tcW w:w="4320" w:type="dxa"/>
            <w:tcBorders/>
          </w:tcPr>
          <w:p>
            <w:pPr>
              <w:pStyle w:val="Normal"/>
              <w:spacing w:before="0" w:after="0"/>
              <w:rPr/>
            </w:pPr>
            <w:r>
              <w:rPr>
                <w:sz w:val="16"/>
              </w:rPr>
              <w:t>wis</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wisc</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wyo</w:t>
            </w:r>
          </w:p>
        </w:tc>
        <w:tc>
          <w:tcPr>
            <w:tcW w:w="4319" w:type="dxa"/>
            <w:tcBorders/>
          </w:tcPr>
          <w:p>
            <w:pPr>
              <w:pStyle w:val="Normal"/>
              <w:spacing w:before="0" w:after="0"/>
              <w:rPr/>
            </w:pPr>
            <w:r>
              <w:rPr>
                <w:sz w:val="16"/>
              </w:rPr>
              <w:t>WY</w:t>
            </w:r>
          </w:p>
        </w:tc>
      </w:tr>
    </w:tbl>
    <w:p>
      <w:pPr>
        <w:pStyle w:val="Heading3"/>
        <w:rPr/>
      </w:pPr>
      <w:r>
        <w:t>Country aliases</w:t>
      </w:r>
    </w:p>
    <w:p>
      <w:pPr>
        <w:pStyle w:val="Normal"/>
        <w:rPr/>
      </w:pPr>
      <w:r>
        <w:t>United States, US, USA, U.S., U.S.A., U S, and U S A normalize to USA for internal processing; United Kingdom, UK, and U K normalize to UK. Australia, India, Japan, South Africa, Jamaica, Egypt, New Zealand, China, and Singapore are included as built-in country search terms.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Canonical country</w:t>
            </w:r>
          </w:p>
        </w:tc>
      </w:tr>
      <w:tr>
        <w:trPr/>
        <w:tc>
          <w:tcPr>
            <w:tcW w:w="4320" w:type="dxa"/>
            <w:tcBorders/>
          </w:tcPr>
          <w:p>
            <w:pPr>
              <w:pStyle w:val="Normal"/>
              <w:spacing w:before="0" w:after="0"/>
              <w:rPr/>
            </w:pPr>
            <w:r>
              <w:rPr>
                <w:sz w:val="16"/>
              </w:rPr>
              <w:t>albania</w:t>
            </w:r>
          </w:p>
        </w:tc>
        <w:tc>
          <w:tcPr>
            <w:tcW w:w="4319" w:type="dxa"/>
            <w:tcBorders/>
          </w:tcPr>
          <w:p>
            <w:pPr>
              <w:pStyle w:val="Normal"/>
              <w:spacing w:before="0" w:after="0"/>
              <w:rPr/>
            </w:pPr>
            <w:r>
              <w:rPr>
                <w:sz w:val="16"/>
              </w:rPr>
              <w:t>Albania</w:t>
            </w:r>
          </w:p>
        </w:tc>
      </w:tr>
      <w:tr>
        <w:trPr/>
        <w:tc>
          <w:tcPr>
            <w:tcW w:w="4320" w:type="dxa"/>
            <w:tcBorders/>
          </w:tcPr>
          <w:p>
            <w:pPr>
              <w:pStyle w:val="Normal"/>
              <w:spacing w:before="0" w:after="0"/>
              <w:rPr/>
            </w:pPr>
            <w:r>
              <w:rPr>
                <w:sz w:val="16"/>
              </w:rPr>
              <w:t>andorra</w:t>
            </w:r>
          </w:p>
        </w:tc>
        <w:tc>
          <w:tcPr>
            <w:tcW w:w="4319" w:type="dxa"/>
            <w:tcBorders/>
          </w:tcPr>
          <w:p>
            <w:pPr>
              <w:pStyle w:val="Normal"/>
              <w:spacing w:before="0" w:after="0"/>
              <w:rPr/>
            </w:pPr>
            <w:r>
              <w:rPr>
                <w:sz w:val="16"/>
              </w:rPr>
              <w:t>Andorra</w:t>
            </w:r>
          </w:p>
        </w:tc>
      </w:tr>
      <w:tr>
        <w:trPr/>
        <w:tc>
          <w:tcPr>
            <w:tcW w:w="4320" w:type="dxa"/>
            <w:tcBorders/>
          </w:tcPr>
          <w:p>
            <w:pPr>
              <w:pStyle w:val="Normal"/>
              <w:spacing w:before="0" w:after="0"/>
              <w:rPr/>
            </w:pPr>
            <w:r>
              <w:rPr>
                <w:sz w:val="16"/>
              </w:rPr>
              <w:t>argentina</w:t>
            </w:r>
          </w:p>
        </w:tc>
        <w:tc>
          <w:tcPr>
            <w:tcW w:w="4319" w:type="dxa"/>
            <w:tcBorders/>
          </w:tcPr>
          <w:p>
            <w:pPr>
              <w:pStyle w:val="Normal"/>
              <w:spacing w:before="0" w:after="0"/>
              <w:rPr/>
            </w:pPr>
            <w:r>
              <w:rPr>
                <w:sz w:val="16"/>
              </w:rPr>
              <w:t>Argentina</w:t>
            </w:r>
          </w:p>
        </w:tc>
      </w:tr>
      <w:tr>
        <w:trPr/>
        <w:tc>
          <w:tcPr>
            <w:tcW w:w="4320" w:type="dxa"/>
            <w:tcBorders/>
          </w:tcPr>
          <w:p>
            <w:pPr>
              <w:pStyle w:val="Normal"/>
              <w:spacing w:before="0" w:after="0"/>
              <w:rPr/>
            </w:pPr>
            <w:r>
              <w:rPr>
                <w:sz w:val="16"/>
              </w:rPr>
              <w:t>austria</w:t>
            </w:r>
          </w:p>
        </w:tc>
        <w:tc>
          <w:tcPr>
            <w:tcW w:w="4319" w:type="dxa"/>
            <w:tcBorders/>
          </w:tcPr>
          <w:p>
            <w:pPr>
              <w:pStyle w:val="Normal"/>
              <w:spacing w:before="0" w:after="0"/>
              <w:rPr/>
            </w:pPr>
            <w:r>
              <w:rPr>
                <w:sz w:val="16"/>
              </w:rPr>
              <w:t>Austria</w:t>
            </w:r>
          </w:p>
        </w:tc>
      </w:tr>
      <w:tr>
        <w:trPr/>
        <w:tc>
          <w:tcPr>
            <w:tcW w:w="4320" w:type="dxa"/>
            <w:tcBorders/>
          </w:tcPr>
          <w:p>
            <w:pPr>
              <w:pStyle w:val="Normal"/>
              <w:spacing w:before="0" w:after="0"/>
              <w:rPr/>
            </w:pPr>
            <w:r>
              <w:rPr>
                <w:sz w:val="16"/>
              </w:rPr>
              <w:t>belarus</w:t>
            </w:r>
          </w:p>
        </w:tc>
        <w:tc>
          <w:tcPr>
            <w:tcW w:w="4319" w:type="dxa"/>
            <w:tcBorders/>
          </w:tcPr>
          <w:p>
            <w:pPr>
              <w:pStyle w:val="Normal"/>
              <w:spacing w:before="0" w:after="0"/>
              <w:rPr/>
            </w:pPr>
            <w:r>
              <w:rPr>
                <w:sz w:val="16"/>
              </w:rPr>
              <w:t>Belarus</w:t>
            </w:r>
          </w:p>
        </w:tc>
      </w:tr>
      <w:tr>
        <w:trPr/>
        <w:tc>
          <w:tcPr>
            <w:tcW w:w="4320" w:type="dxa"/>
            <w:tcBorders/>
          </w:tcPr>
          <w:p>
            <w:pPr>
              <w:pStyle w:val="Normal"/>
              <w:spacing w:before="0" w:after="0"/>
              <w:rPr/>
            </w:pPr>
            <w:r>
              <w:rPr>
                <w:sz w:val="16"/>
              </w:rPr>
              <w:t>belgium</w:t>
            </w:r>
          </w:p>
        </w:tc>
        <w:tc>
          <w:tcPr>
            <w:tcW w:w="4319" w:type="dxa"/>
            <w:tcBorders/>
          </w:tcPr>
          <w:p>
            <w:pPr>
              <w:pStyle w:val="Normal"/>
              <w:spacing w:before="0" w:after="0"/>
              <w:rPr/>
            </w:pPr>
            <w:r>
              <w:rPr>
                <w:sz w:val="16"/>
              </w:rPr>
              <w:t>Belgium</w:t>
            </w:r>
          </w:p>
        </w:tc>
      </w:tr>
      <w:tr>
        <w:trPr/>
        <w:tc>
          <w:tcPr>
            <w:tcW w:w="4320" w:type="dxa"/>
            <w:tcBorders/>
          </w:tcPr>
          <w:p>
            <w:pPr>
              <w:pStyle w:val="Normal"/>
              <w:spacing w:before="0" w:after="0"/>
              <w:rPr/>
            </w:pPr>
            <w:r>
              <w:rPr>
                <w:sz w:val="16"/>
              </w:rPr>
              <w:t>bolivia</w:t>
            </w:r>
          </w:p>
        </w:tc>
        <w:tc>
          <w:tcPr>
            <w:tcW w:w="4319" w:type="dxa"/>
            <w:tcBorders/>
          </w:tcPr>
          <w:p>
            <w:pPr>
              <w:pStyle w:val="Normal"/>
              <w:spacing w:before="0" w:after="0"/>
              <w:rPr/>
            </w:pPr>
            <w:r>
              <w:rPr>
                <w:sz w:val="16"/>
              </w:rPr>
              <w:t>Bolivia</w:t>
            </w:r>
          </w:p>
        </w:tc>
      </w:tr>
      <w:tr>
        <w:trPr/>
        <w:tc>
          <w:tcPr>
            <w:tcW w:w="4320" w:type="dxa"/>
            <w:tcBorders/>
          </w:tcPr>
          <w:p>
            <w:pPr>
              <w:pStyle w:val="Normal"/>
              <w:spacing w:before="0" w:after="0"/>
              <w:rPr/>
            </w:pPr>
            <w:r>
              <w:rPr>
                <w:sz w:val="16"/>
              </w:rPr>
              <w:t>bosnia</w:t>
            </w:r>
          </w:p>
        </w:tc>
        <w:tc>
          <w:tcPr>
            <w:tcW w:w="4319" w:type="dxa"/>
            <w:tcBorders/>
          </w:tcPr>
          <w:p>
            <w:pPr>
              <w:pStyle w:val="Normal"/>
              <w:spacing w:before="0" w:after="0"/>
              <w:rPr/>
            </w:pPr>
            <w:r>
              <w:rPr>
                <w:sz w:val="16"/>
              </w:rPr>
              <w:t>Bosnia</w:t>
            </w:r>
          </w:p>
        </w:tc>
      </w:tr>
      <w:tr>
        <w:trPr/>
        <w:tc>
          <w:tcPr>
            <w:tcW w:w="4320" w:type="dxa"/>
            <w:tcBorders/>
          </w:tcPr>
          <w:p>
            <w:pPr>
              <w:pStyle w:val="Normal"/>
              <w:spacing w:before="0" w:after="0"/>
              <w:rPr/>
            </w:pPr>
            <w:r>
              <w:rPr>
                <w:sz w:val="16"/>
              </w:rPr>
              <w:t>brazil</w:t>
            </w:r>
          </w:p>
        </w:tc>
        <w:tc>
          <w:tcPr>
            <w:tcW w:w="4319" w:type="dxa"/>
            <w:tcBorders/>
          </w:tcPr>
          <w:p>
            <w:pPr>
              <w:pStyle w:val="Normal"/>
              <w:spacing w:before="0" w:after="0"/>
              <w:rPr/>
            </w:pPr>
            <w:r>
              <w:rPr>
                <w:sz w:val="16"/>
              </w:rPr>
              <w:t>Brazil</w:t>
            </w:r>
          </w:p>
        </w:tc>
      </w:tr>
      <w:tr>
        <w:trPr/>
        <w:tc>
          <w:tcPr>
            <w:tcW w:w="4320" w:type="dxa"/>
            <w:tcBorders/>
          </w:tcPr>
          <w:p>
            <w:pPr>
              <w:pStyle w:val="Normal"/>
              <w:spacing w:before="0" w:after="0"/>
              <w:rPr/>
            </w:pPr>
            <w:r>
              <w:rPr>
                <w:sz w:val="16"/>
              </w:rPr>
              <w:t>bulgaria</w:t>
            </w:r>
          </w:p>
        </w:tc>
        <w:tc>
          <w:tcPr>
            <w:tcW w:w="4319" w:type="dxa"/>
            <w:tcBorders/>
          </w:tcPr>
          <w:p>
            <w:pPr>
              <w:pStyle w:val="Normal"/>
              <w:spacing w:before="0" w:after="0"/>
              <w:rPr/>
            </w:pPr>
            <w:r>
              <w:rPr>
                <w:sz w:val="16"/>
              </w:rPr>
              <w:t>Bulgaria</w:t>
            </w:r>
          </w:p>
        </w:tc>
      </w:tr>
      <w:tr>
        <w:trPr/>
        <w:tc>
          <w:tcPr>
            <w:tcW w:w="4320" w:type="dxa"/>
            <w:tcBorders/>
          </w:tcPr>
          <w:p>
            <w:pPr>
              <w:pStyle w:val="Normal"/>
              <w:spacing w:before="0" w:after="0"/>
              <w:rPr/>
            </w:pPr>
            <w:r>
              <w:rPr>
                <w:sz w:val="16"/>
              </w:rPr>
              <w:t>canada</w:t>
            </w:r>
          </w:p>
        </w:tc>
        <w:tc>
          <w:tcPr>
            <w:tcW w:w="4319" w:type="dxa"/>
            <w:tcBorders/>
          </w:tcPr>
          <w:p>
            <w:pPr>
              <w:pStyle w:val="Normal"/>
              <w:spacing w:before="0" w:after="0"/>
              <w:rPr/>
            </w:pPr>
            <w:r>
              <w:rPr>
                <w:sz w:val="16"/>
              </w:rPr>
              <w:t>Canada</w:t>
            </w:r>
          </w:p>
        </w:tc>
      </w:tr>
      <w:tr>
        <w:trPr/>
        <w:tc>
          <w:tcPr>
            <w:tcW w:w="4320" w:type="dxa"/>
            <w:tcBorders/>
          </w:tcPr>
          <w:p>
            <w:pPr>
              <w:pStyle w:val="Normal"/>
              <w:spacing w:before="0" w:after="0"/>
              <w:rPr/>
            </w:pPr>
            <w:r>
              <w:rPr>
                <w:sz w:val="16"/>
              </w:rPr>
              <w:t>chile</w:t>
            </w:r>
          </w:p>
        </w:tc>
        <w:tc>
          <w:tcPr>
            <w:tcW w:w="4319" w:type="dxa"/>
            <w:tcBorders/>
          </w:tcPr>
          <w:p>
            <w:pPr>
              <w:pStyle w:val="Normal"/>
              <w:spacing w:before="0" w:after="0"/>
              <w:rPr/>
            </w:pPr>
            <w:r>
              <w:rPr>
                <w:sz w:val="16"/>
              </w:rPr>
              <w:t>Chile</w:t>
            </w:r>
          </w:p>
        </w:tc>
      </w:tr>
      <w:tr>
        <w:trPr/>
        <w:tc>
          <w:tcPr>
            <w:tcW w:w="4320" w:type="dxa"/>
            <w:tcBorders/>
          </w:tcPr>
          <w:p>
            <w:pPr>
              <w:pStyle w:val="Normal"/>
              <w:spacing w:before="0" w:after="0"/>
              <w:rPr/>
            </w:pPr>
            <w:r>
              <w:rPr>
                <w:sz w:val="16"/>
              </w:rPr>
              <w:t>colombia</w:t>
            </w:r>
          </w:p>
        </w:tc>
        <w:tc>
          <w:tcPr>
            <w:tcW w:w="4319" w:type="dxa"/>
            <w:tcBorders/>
          </w:tcPr>
          <w:p>
            <w:pPr>
              <w:pStyle w:val="Normal"/>
              <w:spacing w:before="0" w:after="0"/>
              <w:rPr/>
            </w:pPr>
            <w:r>
              <w:rPr>
                <w:sz w:val="16"/>
              </w:rPr>
              <w:t>Colombia</w:t>
            </w:r>
          </w:p>
        </w:tc>
      </w:tr>
      <w:tr>
        <w:trPr/>
        <w:tc>
          <w:tcPr>
            <w:tcW w:w="4320" w:type="dxa"/>
            <w:tcBorders/>
          </w:tcPr>
          <w:p>
            <w:pPr>
              <w:pStyle w:val="Normal"/>
              <w:spacing w:before="0" w:after="0"/>
              <w:rPr/>
            </w:pPr>
            <w:r>
              <w:rPr>
                <w:sz w:val="16"/>
              </w:rPr>
              <w:t>croatia</w:t>
            </w:r>
          </w:p>
        </w:tc>
        <w:tc>
          <w:tcPr>
            <w:tcW w:w="4319" w:type="dxa"/>
            <w:tcBorders/>
          </w:tcPr>
          <w:p>
            <w:pPr>
              <w:pStyle w:val="Normal"/>
              <w:spacing w:before="0" w:after="0"/>
              <w:rPr/>
            </w:pPr>
            <w:r>
              <w:rPr>
                <w:sz w:val="16"/>
              </w:rPr>
              <w:t>Croatia</w:t>
            </w:r>
          </w:p>
        </w:tc>
      </w:tr>
      <w:tr>
        <w:trPr/>
        <w:tc>
          <w:tcPr>
            <w:tcW w:w="4320" w:type="dxa"/>
            <w:tcBorders/>
          </w:tcPr>
          <w:p>
            <w:pPr>
              <w:pStyle w:val="Normal"/>
              <w:spacing w:before="0" w:after="0"/>
              <w:rPr/>
            </w:pPr>
            <w:r>
              <w:rPr>
                <w:sz w:val="16"/>
              </w:rPr>
              <w:t>czech republic</w:t>
            </w:r>
          </w:p>
        </w:tc>
        <w:tc>
          <w:tcPr>
            <w:tcW w:w="4319" w:type="dxa"/>
            <w:tcBorders/>
          </w:tcPr>
          <w:p>
            <w:pPr>
              <w:pStyle w:val="Normal"/>
              <w:spacing w:before="0" w:after="0"/>
              <w:rPr/>
            </w:pPr>
            <w:r>
              <w:rPr>
                <w:sz w:val="16"/>
              </w:rPr>
              <w:t>Czech Republic</w:t>
            </w:r>
          </w:p>
        </w:tc>
      </w:tr>
      <w:tr>
        <w:trPr/>
        <w:tc>
          <w:tcPr>
            <w:tcW w:w="4320" w:type="dxa"/>
            <w:tcBorders/>
          </w:tcPr>
          <w:p>
            <w:pPr>
              <w:pStyle w:val="Normal"/>
              <w:spacing w:before="0" w:after="0"/>
              <w:rPr/>
            </w:pPr>
            <w:r>
              <w:rPr>
                <w:sz w:val="16"/>
              </w:rPr>
              <w:t>denmark</w:t>
            </w:r>
          </w:p>
        </w:tc>
        <w:tc>
          <w:tcPr>
            <w:tcW w:w="4319" w:type="dxa"/>
            <w:tcBorders/>
          </w:tcPr>
          <w:p>
            <w:pPr>
              <w:pStyle w:val="Normal"/>
              <w:spacing w:before="0" w:after="0"/>
              <w:rPr/>
            </w:pPr>
            <w:r>
              <w:rPr>
                <w:sz w:val="16"/>
              </w:rPr>
              <w:t>Denmark</w:t>
            </w:r>
          </w:p>
        </w:tc>
      </w:tr>
      <w:tr>
        <w:trPr/>
        <w:tc>
          <w:tcPr>
            <w:tcW w:w="4320" w:type="dxa"/>
            <w:tcBorders/>
          </w:tcPr>
          <w:p>
            <w:pPr>
              <w:pStyle w:val="Normal"/>
              <w:spacing w:before="0" w:after="0"/>
              <w:rPr/>
            </w:pPr>
            <w:r>
              <w:rPr>
                <w:sz w:val="16"/>
              </w:rPr>
              <w:t>ecuador</w:t>
            </w:r>
          </w:p>
        </w:tc>
        <w:tc>
          <w:tcPr>
            <w:tcW w:w="4319" w:type="dxa"/>
            <w:tcBorders/>
          </w:tcPr>
          <w:p>
            <w:pPr>
              <w:pStyle w:val="Normal"/>
              <w:spacing w:before="0" w:after="0"/>
              <w:rPr/>
            </w:pPr>
            <w:r>
              <w:rPr>
                <w:sz w:val="16"/>
              </w:rPr>
              <w:t>Ecuador</w:t>
            </w:r>
          </w:p>
        </w:tc>
      </w:tr>
      <w:tr>
        <w:trPr/>
        <w:tc>
          <w:tcPr>
            <w:tcW w:w="4320" w:type="dxa"/>
            <w:tcBorders/>
          </w:tcPr>
          <w:p>
            <w:pPr>
              <w:pStyle w:val="Normal"/>
              <w:spacing w:before="0" w:after="0"/>
              <w:rPr/>
            </w:pPr>
            <w:r>
              <w:rPr>
                <w:sz w:val="16"/>
              </w:rPr>
              <w:t>england</w:t>
            </w:r>
          </w:p>
        </w:tc>
        <w:tc>
          <w:tcPr>
            <w:tcW w:w="4319" w:type="dxa"/>
            <w:tcBorders/>
          </w:tcPr>
          <w:p>
            <w:pPr>
              <w:pStyle w:val="Normal"/>
              <w:spacing w:before="0" w:after="0"/>
              <w:rPr/>
            </w:pPr>
            <w:r>
              <w:rPr>
                <w:sz w:val="16"/>
              </w:rPr>
              <w:t>England</w:t>
            </w:r>
          </w:p>
        </w:tc>
      </w:tr>
      <w:tr>
        <w:trPr/>
        <w:tc>
          <w:tcPr>
            <w:tcW w:w="4320" w:type="dxa"/>
            <w:tcBorders/>
          </w:tcPr>
          <w:p>
            <w:pPr>
              <w:pStyle w:val="Normal"/>
              <w:spacing w:before="0" w:after="0"/>
              <w:rPr/>
            </w:pPr>
            <w:r>
              <w:rPr>
                <w:sz w:val="16"/>
              </w:rPr>
              <w:t>estonia</w:t>
            </w:r>
          </w:p>
        </w:tc>
        <w:tc>
          <w:tcPr>
            <w:tcW w:w="4319" w:type="dxa"/>
            <w:tcBorders/>
          </w:tcPr>
          <w:p>
            <w:pPr>
              <w:pStyle w:val="Normal"/>
              <w:spacing w:before="0" w:after="0"/>
              <w:rPr/>
            </w:pPr>
            <w:r>
              <w:rPr>
                <w:sz w:val="16"/>
              </w:rPr>
              <w:t>Estonia</w:t>
            </w:r>
          </w:p>
        </w:tc>
      </w:tr>
      <w:tr>
        <w:trPr/>
        <w:tc>
          <w:tcPr>
            <w:tcW w:w="4320" w:type="dxa"/>
            <w:tcBorders/>
          </w:tcPr>
          <w:p>
            <w:pPr>
              <w:pStyle w:val="Normal"/>
              <w:spacing w:before="0" w:after="0"/>
              <w:rPr/>
            </w:pPr>
            <w:r>
              <w:rPr>
                <w:sz w:val="16"/>
              </w:rPr>
              <w:t>finland</w:t>
            </w:r>
          </w:p>
        </w:tc>
        <w:tc>
          <w:tcPr>
            <w:tcW w:w="4319" w:type="dxa"/>
            <w:tcBorders/>
          </w:tcPr>
          <w:p>
            <w:pPr>
              <w:pStyle w:val="Normal"/>
              <w:spacing w:before="0" w:after="0"/>
              <w:rPr/>
            </w:pPr>
            <w:r>
              <w:rPr>
                <w:sz w:val="16"/>
              </w:rPr>
              <w:t>Finland</w:t>
            </w:r>
          </w:p>
        </w:tc>
      </w:tr>
      <w:tr>
        <w:trPr/>
        <w:tc>
          <w:tcPr>
            <w:tcW w:w="4320" w:type="dxa"/>
            <w:tcBorders/>
          </w:tcPr>
          <w:p>
            <w:pPr>
              <w:pStyle w:val="Normal"/>
              <w:spacing w:before="0" w:after="0"/>
              <w:rPr/>
            </w:pPr>
            <w:r>
              <w:rPr>
                <w:sz w:val="16"/>
              </w:rPr>
              <w:t>france</w:t>
            </w:r>
          </w:p>
        </w:tc>
        <w:tc>
          <w:tcPr>
            <w:tcW w:w="4319" w:type="dxa"/>
            <w:tcBorders/>
          </w:tcPr>
          <w:p>
            <w:pPr>
              <w:pStyle w:val="Normal"/>
              <w:spacing w:before="0" w:after="0"/>
              <w:rPr/>
            </w:pPr>
            <w:r>
              <w:rPr>
                <w:sz w:val="16"/>
              </w:rPr>
              <w:t>France</w:t>
            </w:r>
          </w:p>
        </w:tc>
      </w:tr>
      <w:tr>
        <w:trPr/>
        <w:tc>
          <w:tcPr>
            <w:tcW w:w="4320" w:type="dxa"/>
            <w:tcBorders/>
          </w:tcPr>
          <w:p>
            <w:pPr>
              <w:pStyle w:val="Normal"/>
              <w:spacing w:before="0" w:after="0"/>
              <w:rPr/>
            </w:pPr>
            <w:r>
              <w:rPr>
                <w:sz w:val="16"/>
              </w:rPr>
              <w:t>germany</w:t>
            </w:r>
          </w:p>
        </w:tc>
        <w:tc>
          <w:tcPr>
            <w:tcW w:w="4319" w:type="dxa"/>
            <w:tcBorders/>
          </w:tcPr>
          <w:p>
            <w:pPr>
              <w:pStyle w:val="Normal"/>
              <w:spacing w:before="0" w:after="0"/>
              <w:rPr/>
            </w:pPr>
            <w:r>
              <w:rPr>
                <w:sz w:val="16"/>
              </w:rPr>
              <w:t>Germany</w:t>
            </w:r>
          </w:p>
        </w:tc>
      </w:tr>
      <w:tr>
        <w:trPr/>
        <w:tc>
          <w:tcPr>
            <w:tcW w:w="4320" w:type="dxa"/>
            <w:tcBorders/>
          </w:tcPr>
          <w:p>
            <w:pPr>
              <w:pStyle w:val="Normal"/>
              <w:spacing w:before="0" w:after="0"/>
              <w:rPr/>
            </w:pPr>
            <w:r>
              <w:rPr>
                <w:sz w:val="16"/>
              </w:rPr>
              <w:t>greece</w:t>
            </w:r>
          </w:p>
        </w:tc>
        <w:tc>
          <w:tcPr>
            <w:tcW w:w="4319" w:type="dxa"/>
            <w:tcBorders/>
          </w:tcPr>
          <w:p>
            <w:pPr>
              <w:pStyle w:val="Normal"/>
              <w:spacing w:before="0" w:after="0"/>
              <w:rPr/>
            </w:pPr>
            <w:r>
              <w:rPr>
                <w:sz w:val="16"/>
              </w:rPr>
              <w:t>Greece</w:t>
            </w:r>
          </w:p>
        </w:tc>
      </w:tr>
      <w:tr>
        <w:trPr/>
        <w:tc>
          <w:tcPr>
            <w:tcW w:w="4320" w:type="dxa"/>
            <w:tcBorders/>
          </w:tcPr>
          <w:p>
            <w:pPr>
              <w:pStyle w:val="Normal"/>
              <w:spacing w:before="0" w:after="0"/>
              <w:rPr/>
            </w:pPr>
            <w:r>
              <w:rPr>
                <w:sz w:val="16"/>
              </w:rPr>
              <w:t>guyana</w:t>
            </w:r>
          </w:p>
        </w:tc>
        <w:tc>
          <w:tcPr>
            <w:tcW w:w="4319" w:type="dxa"/>
            <w:tcBorders/>
          </w:tcPr>
          <w:p>
            <w:pPr>
              <w:pStyle w:val="Normal"/>
              <w:spacing w:before="0" w:after="0"/>
              <w:rPr/>
            </w:pPr>
            <w:r>
              <w:rPr>
                <w:sz w:val="16"/>
              </w:rPr>
              <w:t>Guyana</w:t>
            </w:r>
          </w:p>
        </w:tc>
      </w:tr>
      <w:tr>
        <w:trPr/>
        <w:tc>
          <w:tcPr>
            <w:tcW w:w="4320" w:type="dxa"/>
            <w:tcBorders/>
          </w:tcPr>
          <w:p>
            <w:pPr>
              <w:pStyle w:val="Normal"/>
              <w:spacing w:before="0" w:after="0"/>
              <w:rPr/>
            </w:pPr>
            <w:r>
              <w:rPr>
                <w:sz w:val="16"/>
              </w:rPr>
              <w:t>herzegovina</w:t>
            </w:r>
          </w:p>
        </w:tc>
        <w:tc>
          <w:tcPr>
            <w:tcW w:w="4319" w:type="dxa"/>
            <w:tcBorders/>
          </w:tcPr>
          <w:p>
            <w:pPr>
              <w:pStyle w:val="Normal"/>
              <w:spacing w:before="0" w:after="0"/>
              <w:rPr/>
            </w:pPr>
            <w:r>
              <w:rPr>
                <w:sz w:val="16"/>
              </w:rPr>
              <w:t>Herzegovina</w:t>
            </w:r>
          </w:p>
        </w:tc>
      </w:tr>
      <w:tr>
        <w:trPr/>
        <w:tc>
          <w:tcPr>
            <w:tcW w:w="4320" w:type="dxa"/>
            <w:tcBorders/>
          </w:tcPr>
          <w:p>
            <w:pPr>
              <w:pStyle w:val="Normal"/>
              <w:spacing w:before="0" w:after="0"/>
              <w:rPr/>
            </w:pPr>
            <w:r>
              <w:rPr>
                <w:sz w:val="16"/>
              </w:rPr>
              <w:t>hungary</w:t>
            </w:r>
          </w:p>
        </w:tc>
        <w:tc>
          <w:tcPr>
            <w:tcW w:w="4319" w:type="dxa"/>
            <w:tcBorders/>
          </w:tcPr>
          <w:p>
            <w:pPr>
              <w:pStyle w:val="Normal"/>
              <w:spacing w:before="0" w:after="0"/>
              <w:rPr/>
            </w:pPr>
            <w:r>
              <w:rPr>
                <w:sz w:val="16"/>
              </w:rPr>
              <w:t>Hungary</w:t>
            </w:r>
          </w:p>
        </w:tc>
      </w:tr>
      <w:tr>
        <w:trPr/>
        <w:tc>
          <w:tcPr>
            <w:tcW w:w="4320" w:type="dxa"/>
            <w:tcBorders/>
          </w:tcPr>
          <w:p>
            <w:pPr>
              <w:pStyle w:val="Normal"/>
              <w:spacing w:before="0" w:after="0"/>
              <w:rPr/>
            </w:pPr>
            <w:r>
              <w:rPr>
                <w:sz w:val="16"/>
              </w:rPr>
              <w:t>iceland</w:t>
            </w:r>
          </w:p>
        </w:tc>
        <w:tc>
          <w:tcPr>
            <w:tcW w:w="4319" w:type="dxa"/>
            <w:tcBorders/>
          </w:tcPr>
          <w:p>
            <w:pPr>
              <w:pStyle w:val="Normal"/>
              <w:spacing w:before="0" w:after="0"/>
              <w:rPr/>
            </w:pPr>
            <w:r>
              <w:rPr>
                <w:sz w:val="16"/>
              </w:rPr>
              <w:t>Iceland</w:t>
            </w:r>
          </w:p>
        </w:tc>
      </w:tr>
      <w:tr>
        <w:trPr/>
        <w:tc>
          <w:tcPr>
            <w:tcW w:w="4320" w:type="dxa"/>
            <w:tcBorders/>
          </w:tcPr>
          <w:p>
            <w:pPr>
              <w:pStyle w:val="Normal"/>
              <w:spacing w:before="0" w:after="0"/>
              <w:rPr/>
            </w:pPr>
            <w:r>
              <w:rPr>
                <w:sz w:val="16"/>
              </w:rPr>
              <w:t>ireland</w:t>
            </w:r>
          </w:p>
        </w:tc>
        <w:tc>
          <w:tcPr>
            <w:tcW w:w="4319" w:type="dxa"/>
            <w:tcBorders/>
          </w:tcPr>
          <w:p>
            <w:pPr>
              <w:pStyle w:val="Normal"/>
              <w:spacing w:before="0" w:after="0"/>
              <w:rPr/>
            </w:pPr>
            <w:r>
              <w:rPr>
                <w:sz w:val="16"/>
              </w:rPr>
              <w:t>Ireland</w:t>
            </w:r>
          </w:p>
        </w:tc>
      </w:tr>
      <w:tr>
        <w:trPr/>
        <w:tc>
          <w:tcPr>
            <w:tcW w:w="4320" w:type="dxa"/>
            <w:tcBorders/>
          </w:tcPr>
          <w:p>
            <w:pPr>
              <w:pStyle w:val="Normal"/>
              <w:spacing w:before="0" w:after="0"/>
              <w:rPr/>
            </w:pPr>
            <w:r>
              <w:rPr>
                <w:sz w:val="16"/>
              </w:rPr>
              <w:t>italy</w:t>
            </w:r>
          </w:p>
        </w:tc>
        <w:tc>
          <w:tcPr>
            <w:tcW w:w="4319" w:type="dxa"/>
            <w:tcBorders/>
          </w:tcPr>
          <w:p>
            <w:pPr>
              <w:pStyle w:val="Normal"/>
              <w:spacing w:before="0" w:after="0"/>
              <w:rPr/>
            </w:pPr>
            <w:r>
              <w:rPr>
                <w:sz w:val="16"/>
              </w:rPr>
              <w:t>Italy</w:t>
            </w:r>
          </w:p>
        </w:tc>
      </w:tr>
      <w:tr>
        <w:trPr/>
        <w:tc>
          <w:tcPr>
            <w:tcW w:w="4320" w:type="dxa"/>
            <w:tcBorders/>
          </w:tcPr>
          <w:p>
            <w:pPr>
              <w:pStyle w:val="Normal"/>
              <w:spacing w:before="0" w:after="0"/>
              <w:rPr/>
            </w:pPr>
            <w:r>
              <w:rPr>
                <w:sz w:val="16"/>
              </w:rPr>
              <w:t>kosovo</w:t>
            </w:r>
          </w:p>
        </w:tc>
        <w:tc>
          <w:tcPr>
            <w:tcW w:w="4319" w:type="dxa"/>
            <w:tcBorders/>
          </w:tcPr>
          <w:p>
            <w:pPr>
              <w:pStyle w:val="Normal"/>
              <w:spacing w:before="0" w:after="0"/>
              <w:rPr/>
            </w:pPr>
            <w:r>
              <w:rPr>
                <w:sz w:val="16"/>
              </w:rPr>
              <w:t>Kosovo</w:t>
            </w:r>
          </w:p>
        </w:tc>
      </w:tr>
      <w:tr>
        <w:trPr/>
        <w:tc>
          <w:tcPr>
            <w:tcW w:w="4320" w:type="dxa"/>
            <w:tcBorders/>
          </w:tcPr>
          <w:p>
            <w:pPr>
              <w:pStyle w:val="Normal"/>
              <w:spacing w:before="0" w:after="0"/>
              <w:rPr/>
            </w:pPr>
            <w:r>
              <w:rPr>
                <w:sz w:val="16"/>
              </w:rPr>
              <w:t>latvia</w:t>
            </w:r>
          </w:p>
        </w:tc>
        <w:tc>
          <w:tcPr>
            <w:tcW w:w="4319" w:type="dxa"/>
            <w:tcBorders/>
          </w:tcPr>
          <w:p>
            <w:pPr>
              <w:pStyle w:val="Normal"/>
              <w:spacing w:before="0" w:after="0"/>
              <w:rPr/>
            </w:pPr>
            <w:r>
              <w:rPr>
                <w:sz w:val="16"/>
              </w:rPr>
              <w:t>Latvia</w:t>
            </w:r>
          </w:p>
        </w:tc>
      </w:tr>
      <w:tr>
        <w:trPr/>
        <w:tc>
          <w:tcPr>
            <w:tcW w:w="4320" w:type="dxa"/>
            <w:tcBorders/>
          </w:tcPr>
          <w:p>
            <w:pPr>
              <w:pStyle w:val="Normal"/>
              <w:spacing w:before="0" w:after="0"/>
              <w:rPr/>
            </w:pPr>
            <w:r>
              <w:rPr>
                <w:sz w:val="16"/>
              </w:rPr>
              <w:t>liechtenstein</w:t>
            </w:r>
          </w:p>
        </w:tc>
        <w:tc>
          <w:tcPr>
            <w:tcW w:w="4319" w:type="dxa"/>
            <w:tcBorders/>
          </w:tcPr>
          <w:p>
            <w:pPr>
              <w:pStyle w:val="Normal"/>
              <w:spacing w:before="0" w:after="0"/>
              <w:rPr/>
            </w:pPr>
            <w:r>
              <w:rPr>
                <w:sz w:val="16"/>
              </w:rPr>
              <w:t>Liechtenstein</w:t>
            </w:r>
          </w:p>
        </w:tc>
      </w:tr>
      <w:tr>
        <w:trPr/>
        <w:tc>
          <w:tcPr>
            <w:tcW w:w="4320" w:type="dxa"/>
            <w:tcBorders/>
          </w:tcPr>
          <w:p>
            <w:pPr>
              <w:pStyle w:val="Normal"/>
              <w:spacing w:before="0" w:after="0"/>
              <w:rPr/>
            </w:pPr>
            <w:r>
              <w:rPr>
                <w:sz w:val="16"/>
              </w:rPr>
              <w:t>lithuania</w:t>
            </w:r>
          </w:p>
        </w:tc>
        <w:tc>
          <w:tcPr>
            <w:tcW w:w="4319" w:type="dxa"/>
            <w:tcBorders/>
          </w:tcPr>
          <w:p>
            <w:pPr>
              <w:pStyle w:val="Normal"/>
              <w:spacing w:before="0" w:after="0"/>
              <w:rPr/>
            </w:pPr>
            <w:r>
              <w:rPr>
                <w:sz w:val="16"/>
              </w:rPr>
              <w:t>Lithuania</w:t>
            </w:r>
          </w:p>
        </w:tc>
      </w:tr>
      <w:tr>
        <w:trPr/>
        <w:tc>
          <w:tcPr>
            <w:tcW w:w="4320" w:type="dxa"/>
            <w:tcBorders/>
          </w:tcPr>
          <w:p>
            <w:pPr>
              <w:pStyle w:val="Normal"/>
              <w:spacing w:before="0" w:after="0"/>
              <w:rPr/>
            </w:pPr>
            <w:r>
              <w:rPr>
                <w:sz w:val="16"/>
              </w:rPr>
              <w:t>luxembourg</w:t>
            </w:r>
          </w:p>
        </w:tc>
        <w:tc>
          <w:tcPr>
            <w:tcW w:w="4319" w:type="dxa"/>
            <w:tcBorders/>
          </w:tcPr>
          <w:p>
            <w:pPr>
              <w:pStyle w:val="Normal"/>
              <w:spacing w:before="0" w:after="0"/>
              <w:rPr/>
            </w:pPr>
            <w:r>
              <w:rPr>
                <w:sz w:val="16"/>
              </w:rPr>
              <w:t>Luxembourg</w:t>
            </w:r>
          </w:p>
        </w:tc>
      </w:tr>
      <w:tr>
        <w:trPr/>
        <w:tc>
          <w:tcPr>
            <w:tcW w:w="4320" w:type="dxa"/>
            <w:tcBorders/>
          </w:tcPr>
          <w:p>
            <w:pPr>
              <w:pStyle w:val="Normal"/>
              <w:spacing w:before="0" w:after="0"/>
              <w:rPr/>
            </w:pPr>
            <w:r>
              <w:rPr>
                <w:sz w:val="16"/>
              </w:rPr>
              <w:t>malta</w:t>
            </w:r>
          </w:p>
        </w:tc>
        <w:tc>
          <w:tcPr>
            <w:tcW w:w="4319" w:type="dxa"/>
            <w:tcBorders/>
          </w:tcPr>
          <w:p>
            <w:pPr>
              <w:pStyle w:val="Normal"/>
              <w:spacing w:before="0" w:after="0"/>
              <w:rPr/>
            </w:pPr>
            <w:r>
              <w:rPr>
                <w:sz w:val="16"/>
              </w:rPr>
              <w:t>Malta</w:t>
            </w:r>
          </w:p>
        </w:tc>
      </w:tr>
      <w:tr>
        <w:trPr/>
        <w:tc>
          <w:tcPr>
            <w:tcW w:w="4320" w:type="dxa"/>
            <w:tcBorders/>
          </w:tcPr>
          <w:p>
            <w:pPr>
              <w:pStyle w:val="Normal"/>
              <w:spacing w:before="0" w:after="0"/>
              <w:rPr/>
            </w:pPr>
            <w:r>
              <w:rPr>
                <w:sz w:val="16"/>
              </w:rPr>
              <w:t>mexico</w:t>
            </w:r>
          </w:p>
        </w:tc>
        <w:tc>
          <w:tcPr>
            <w:tcW w:w="4319" w:type="dxa"/>
            <w:tcBorders/>
          </w:tcPr>
          <w:p>
            <w:pPr>
              <w:pStyle w:val="Normal"/>
              <w:spacing w:before="0" w:after="0"/>
              <w:rPr/>
            </w:pPr>
            <w:r>
              <w:rPr>
                <w:sz w:val="16"/>
              </w:rPr>
              <w:t>Mexico</w:t>
            </w:r>
          </w:p>
        </w:tc>
      </w:tr>
      <w:tr>
        <w:trPr/>
        <w:tc>
          <w:tcPr>
            <w:tcW w:w="4320" w:type="dxa"/>
            <w:tcBorders/>
          </w:tcPr>
          <w:p>
            <w:pPr>
              <w:pStyle w:val="Normal"/>
              <w:spacing w:before="0" w:after="0"/>
              <w:rPr/>
            </w:pPr>
            <w:r>
              <w:rPr>
                <w:sz w:val="16"/>
              </w:rPr>
              <w:t>moldova</w:t>
            </w:r>
          </w:p>
        </w:tc>
        <w:tc>
          <w:tcPr>
            <w:tcW w:w="4319" w:type="dxa"/>
            <w:tcBorders/>
          </w:tcPr>
          <w:p>
            <w:pPr>
              <w:pStyle w:val="Normal"/>
              <w:spacing w:before="0" w:after="0"/>
              <w:rPr/>
            </w:pPr>
            <w:r>
              <w:rPr>
                <w:sz w:val="16"/>
              </w:rPr>
              <w:t>Moldova</w:t>
            </w:r>
          </w:p>
        </w:tc>
      </w:tr>
      <w:tr>
        <w:trPr/>
        <w:tc>
          <w:tcPr>
            <w:tcW w:w="4320" w:type="dxa"/>
            <w:tcBorders/>
          </w:tcPr>
          <w:p>
            <w:pPr>
              <w:pStyle w:val="Normal"/>
              <w:spacing w:before="0" w:after="0"/>
              <w:rPr/>
            </w:pPr>
            <w:r>
              <w:rPr>
                <w:sz w:val="16"/>
              </w:rPr>
              <w:t>monaco</w:t>
            </w:r>
          </w:p>
        </w:tc>
        <w:tc>
          <w:tcPr>
            <w:tcW w:w="4319" w:type="dxa"/>
            <w:tcBorders/>
          </w:tcPr>
          <w:p>
            <w:pPr>
              <w:pStyle w:val="Normal"/>
              <w:spacing w:before="0" w:after="0"/>
              <w:rPr/>
            </w:pPr>
            <w:r>
              <w:rPr>
                <w:sz w:val="16"/>
              </w:rPr>
              <w:t>Monaco</w:t>
            </w:r>
          </w:p>
        </w:tc>
      </w:tr>
      <w:tr>
        <w:trPr/>
        <w:tc>
          <w:tcPr>
            <w:tcW w:w="4320" w:type="dxa"/>
            <w:tcBorders/>
          </w:tcPr>
          <w:p>
            <w:pPr>
              <w:pStyle w:val="Normal"/>
              <w:spacing w:before="0" w:after="0"/>
              <w:rPr/>
            </w:pPr>
            <w:r>
              <w:rPr>
                <w:sz w:val="16"/>
              </w:rPr>
              <w:t>montenegro</w:t>
            </w:r>
          </w:p>
        </w:tc>
        <w:tc>
          <w:tcPr>
            <w:tcW w:w="4319" w:type="dxa"/>
            <w:tcBorders/>
          </w:tcPr>
          <w:p>
            <w:pPr>
              <w:pStyle w:val="Normal"/>
              <w:spacing w:before="0" w:after="0"/>
              <w:rPr/>
            </w:pPr>
            <w:r>
              <w:rPr>
                <w:sz w:val="16"/>
              </w:rPr>
              <w:t>Montenegro</w:t>
            </w:r>
          </w:p>
        </w:tc>
      </w:tr>
      <w:tr>
        <w:trPr/>
        <w:tc>
          <w:tcPr>
            <w:tcW w:w="4320" w:type="dxa"/>
            <w:tcBorders/>
          </w:tcPr>
          <w:p>
            <w:pPr>
              <w:pStyle w:val="Normal"/>
              <w:spacing w:before="0" w:after="0"/>
              <w:rPr/>
            </w:pPr>
            <w:r>
              <w:rPr>
                <w:sz w:val="16"/>
              </w:rPr>
              <w:t>netherlands</w:t>
            </w:r>
          </w:p>
        </w:tc>
        <w:tc>
          <w:tcPr>
            <w:tcW w:w="4319" w:type="dxa"/>
            <w:tcBorders/>
          </w:tcPr>
          <w:p>
            <w:pPr>
              <w:pStyle w:val="Normal"/>
              <w:spacing w:before="0" w:after="0"/>
              <w:rPr/>
            </w:pPr>
            <w:r>
              <w:rPr>
                <w:sz w:val="16"/>
              </w:rPr>
              <w:t>Netherlands</w:t>
            </w:r>
          </w:p>
        </w:tc>
      </w:tr>
      <w:tr>
        <w:trPr/>
        <w:tc>
          <w:tcPr>
            <w:tcW w:w="4320" w:type="dxa"/>
            <w:tcBorders/>
          </w:tcPr>
          <w:p>
            <w:pPr>
              <w:pStyle w:val="Normal"/>
              <w:spacing w:before="0" w:after="0"/>
              <w:rPr/>
            </w:pPr>
            <w:r>
              <w:rPr>
                <w:sz w:val="16"/>
              </w:rPr>
              <w:t>north macedonia</w:t>
            </w:r>
          </w:p>
        </w:tc>
        <w:tc>
          <w:tcPr>
            <w:tcW w:w="4319" w:type="dxa"/>
            <w:tcBorders/>
          </w:tcPr>
          <w:p>
            <w:pPr>
              <w:pStyle w:val="Normal"/>
              <w:spacing w:before="0" w:after="0"/>
              <w:rPr/>
            </w:pPr>
            <w:r>
              <w:rPr>
                <w:sz w:val="16"/>
              </w:rPr>
              <w:t>North Macedonia</w:t>
            </w:r>
          </w:p>
        </w:tc>
      </w:tr>
      <w:tr>
        <w:trPr/>
        <w:tc>
          <w:tcPr>
            <w:tcW w:w="4320" w:type="dxa"/>
            <w:tcBorders/>
          </w:tcPr>
          <w:p>
            <w:pPr>
              <w:pStyle w:val="Normal"/>
              <w:spacing w:before="0" w:after="0"/>
              <w:rPr/>
            </w:pPr>
            <w:r>
              <w:rPr>
                <w:sz w:val="16"/>
              </w:rPr>
              <w:t>norway</w:t>
            </w:r>
          </w:p>
        </w:tc>
        <w:tc>
          <w:tcPr>
            <w:tcW w:w="4319" w:type="dxa"/>
            <w:tcBorders/>
          </w:tcPr>
          <w:p>
            <w:pPr>
              <w:pStyle w:val="Normal"/>
              <w:spacing w:before="0" w:after="0"/>
              <w:rPr/>
            </w:pPr>
            <w:r>
              <w:rPr>
                <w:sz w:val="16"/>
              </w:rPr>
              <w:t>Norway</w:t>
            </w:r>
          </w:p>
        </w:tc>
      </w:tr>
      <w:tr>
        <w:trPr/>
        <w:tc>
          <w:tcPr>
            <w:tcW w:w="4320" w:type="dxa"/>
            <w:tcBorders/>
          </w:tcPr>
          <w:p>
            <w:pPr>
              <w:pStyle w:val="Normal"/>
              <w:spacing w:before="0" w:after="0"/>
              <w:rPr/>
            </w:pPr>
            <w:r>
              <w:rPr>
                <w:sz w:val="16"/>
              </w:rPr>
              <w:t>panama</w:t>
            </w:r>
          </w:p>
        </w:tc>
        <w:tc>
          <w:tcPr>
            <w:tcW w:w="4319" w:type="dxa"/>
            <w:tcBorders/>
          </w:tcPr>
          <w:p>
            <w:pPr>
              <w:pStyle w:val="Normal"/>
              <w:spacing w:before="0" w:after="0"/>
              <w:rPr/>
            </w:pPr>
            <w:r>
              <w:rPr>
                <w:sz w:val="16"/>
              </w:rPr>
              <w:t>Panama</w:t>
            </w:r>
          </w:p>
        </w:tc>
      </w:tr>
      <w:tr>
        <w:trPr/>
        <w:tc>
          <w:tcPr>
            <w:tcW w:w="4320" w:type="dxa"/>
            <w:tcBorders/>
          </w:tcPr>
          <w:p>
            <w:pPr>
              <w:pStyle w:val="Normal"/>
              <w:spacing w:before="0" w:after="0"/>
              <w:rPr/>
            </w:pPr>
            <w:r>
              <w:rPr>
                <w:sz w:val="16"/>
              </w:rPr>
              <w:t>paraguay</w:t>
            </w:r>
          </w:p>
        </w:tc>
        <w:tc>
          <w:tcPr>
            <w:tcW w:w="4319" w:type="dxa"/>
            <w:tcBorders/>
          </w:tcPr>
          <w:p>
            <w:pPr>
              <w:pStyle w:val="Normal"/>
              <w:spacing w:before="0" w:after="0"/>
              <w:rPr/>
            </w:pPr>
            <w:r>
              <w:rPr>
                <w:sz w:val="16"/>
              </w:rPr>
              <w:t>Paraguay</w:t>
            </w:r>
          </w:p>
        </w:tc>
      </w:tr>
      <w:tr>
        <w:trPr/>
        <w:tc>
          <w:tcPr>
            <w:tcW w:w="4320" w:type="dxa"/>
            <w:tcBorders/>
          </w:tcPr>
          <w:p>
            <w:pPr>
              <w:pStyle w:val="Normal"/>
              <w:spacing w:before="0" w:after="0"/>
              <w:rPr/>
            </w:pPr>
            <w:r>
              <w:rPr>
                <w:sz w:val="16"/>
              </w:rPr>
              <w:t>peru</w:t>
            </w:r>
          </w:p>
        </w:tc>
        <w:tc>
          <w:tcPr>
            <w:tcW w:w="4319" w:type="dxa"/>
            <w:tcBorders/>
          </w:tcPr>
          <w:p>
            <w:pPr>
              <w:pStyle w:val="Normal"/>
              <w:spacing w:before="0" w:after="0"/>
              <w:rPr/>
            </w:pPr>
            <w:r>
              <w:rPr>
                <w:sz w:val="16"/>
              </w:rPr>
              <w:t>Peru</w:t>
            </w:r>
          </w:p>
        </w:tc>
      </w:tr>
      <w:tr>
        <w:trPr/>
        <w:tc>
          <w:tcPr>
            <w:tcW w:w="4320" w:type="dxa"/>
            <w:tcBorders/>
          </w:tcPr>
          <w:p>
            <w:pPr>
              <w:pStyle w:val="Normal"/>
              <w:spacing w:before="0" w:after="0"/>
              <w:rPr/>
            </w:pPr>
            <w:r>
              <w:rPr>
                <w:sz w:val="16"/>
              </w:rPr>
              <w:t>poland</w:t>
            </w:r>
          </w:p>
        </w:tc>
        <w:tc>
          <w:tcPr>
            <w:tcW w:w="4319" w:type="dxa"/>
            <w:tcBorders/>
          </w:tcPr>
          <w:p>
            <w:pPr>
              <w:pStyle w:val="Normal"/>
              <w:spacing w:before="0" w:after="0"/>
              <w:rPr/>
            </w:pPr>
            <w:r>
              <w:rPr>
                <w:sz w:val="16"/>
              </w:rPr>
              <w:t>Poland</w:t>
            </w:r>
          </w:p>
        </w:tc>
      </w:tr>
      <w:tr>
        <w:trPr/>
        <w:tc>
          <w:tcPr>
            <w:tcW w:w="4320" w:type="dxa"/>
            <w:tcBorders/>
          </w:tcPr>
          <w:p>
            <w:pPr>
              <w:pStyle w:val="Normal"/>
              <w:spacing w:before="0" w:after="0"/>
              <w:rPr/>
            </w:pPr>
            <w:r>
              <w:rPr>
                <w:sz w:val="16"/>
              </w:rPr>
              <w:t>portugal</w:t>
            </w:r>
          </w:p>
        </w:tc>
        <w:tc>
          <w:tcPr>
            <w:tcW w:w="4319" w:type="dxa"/>
            <w:tcBorders/>
          </w:tcPr>
          <w:p>
            <w:pPr>
              <w:pStyle w:val="Normal"/>
              <w:spacing w:before="0" w:after="0"/>
              <w:rPr/>
            </w:pPr>
            <w:r>
              <w:rPr>
                <w:sz w:val="16"/>
              </w:rPr>
              <w:t>Portugal</w:t>
            </w:r>
          </w:p>
        </w:tc>
      </w:tr>
      <w:tr>
        <w:trPr/>
        <w:tc>
          <w:tcPr>
            <w:tcW w:w="4320" w:type="dxa"/>
            <w:tcBorders/>
          </w:tcPr>
          <w:p>
            <w:pPr>
              <w:pStyle w:val="Normal"/>
              <w:spacing w:before="0" w:after="0"/>
              <w:rPr/>
            </w:pPr>
            <w:r>
              <w:rPr>
                <w:sz w:val="16"/>
              </w:rPr>
              <w:t>romania</w:t>
            </w:r>
          </w:p>
        </w:tc>
        <w:tc>
          <w:tcPr>
            <w:tcW w:w="4319" w:type="dxa"/>
            <w:tcBorders/>
          </w:tcPr>
          <w:p>
            <w:pPr>
              <w:pStyle w:val="Normal"/>
              <w:spacing w:before="0" w:after="0"/>
              <w:rPr/>
            </w:pPr>
            <w:r>
              <w:rPr>
                <w:sz w:val="16"/>
              </w:rPr>
              <w:t>Romania</w:t>
            </w:r>
          </w:p>
        </w:tc>
      </w:tr>
      <w:tr>
        <w:trPr/>
        <w:tc>
          <w:tcPr>
            <w:tcW w:w="4320" w:type="dxa"/>
            <w:tcBorders/>
          </w:tcPr>
          <w:p>
            <w:pPr>
              <w:pStyle w:val="Normal"/>
              <w:spacing w:before="0" w:after="0"/>
              <w:rPr/>
            </w:pPr>
            <w:r>
              <w:rPr>
                <w:sz w:val="16"/>
              </w:rPr>
              <w:t>russia</w:t>
            </w:r>
          </w:p>
        </w:tc>
        <w:tc>
          <w:tcPr>
            <w:tcW w:w="4319" w:type="dxa"/>
            <w:tcBorders/>
          </w:tcPr>
          <w:p>
            <w:pPr>
              <w:pStyle w:val="Normal"/>
              <w:spacing w:before="0" w:after="0"/>
              <w:rPr/>
            </w:pPr>
            <w:r>
              <w:rPr>
                <w:sz w:val="16"/>
              </w:rPr>
              <w:t>Russia</w:t>
            </w:r>
          </w:p>
        </w:tc>
      </w:tr>
      <w:tr>
        <w:trPr/>
        <w:tc>
          <w:tcPr>
            <w:tcW w:w="4320" w:type="dxa"/>
            <w:tcBorders/>
          </w:tcPr>
          <w:p>
            <w:pPr>
              <w:pStyle w:val="Normal"/>
              <w:spacing w:before="0" w:after="0"/>
              <w:rPr/>
            </w:pPr>
            <w:r>
              <w:rPr>
                <w:sz w:val="16"/>
              </w:rPr>
              <w:t>san marino</w:t>
            </w:r>
          </w:p>
        </w:tc>
        <w:tc>
          <w:tcPr>
            <w:tcW w:w="4319" w:type="dxa"/>
            <w:tcBorders/>
          </w:tcPr>
          <w:p>
            <w:pPr>
              <w:pStyle w:val="Normal"/>
              <w:spacing w:before="0" w:after="0"/>
              <w:rPr/>
            </w:pPr>
            <w:r>
              <w:rPr>
                <w:sz w:val="16"/>
              </w:rPr>
              <w:t>San Marino</w:t>
            </w:r>
          </w:p>
        </w:tc>
      </w:tr>
      <w:tr>
        <w:trPr/>
        <w:tc>
          <w:tcPr>
            <w:tcW w:w="4320" w:type="dxa"/>
            <w:tcBorders/>
          </w:tcPr>
          <w:p>
            <w:pPr>
              <w:pStyle w:val="Normal"/>
              <w:spacing w:before="0" w:after="0"/>
              <w:rPr/>
            </w:pPr>
            <w:r>
              <w:rPr>
                <w:sz w:val="16"/>
              </w:rPr>
              <w:t>serbia</w:t>
            </w:r>
          </w:p>
        </w:tc>
        <w:tc>
          <w:tcPr>
            <w:tcW w:w="4319" w:type="dxa"/>
            <w:tcBorders/>
          </w:tcPr>
          <w:p>
            <w:pPr>
              <w:pStyle w:val="Normal"/>
              <w:spacing w:before="0" w:after="0"/>
              <w:rPr/>
            </w:pPr>
            <w:r>
              <w:rPr>
                <w:sz w:val="16"/>
              </w:rPr>
              <w:t>Serbia</w:t>
            </w:r>
          </w:p>
        </w:tc>
      </w:tr>
      <w:tr>
        <w:trPr/>
        <w:tc>
          <w:tcPr>
            <w:tcW w:w="4320" w:type="dxa"/>
            <w:tcBorders/>
          </w:tcPr>
          <w:p>
            <w:pPr>
              <w:pStyle w:val="Normal"/>
              <w:spacing w:before="0" w:after="0"/>
              <w:rPr/>
            </w:pPr>
            <w:r>
              <w:rPr>
                <w:sz w:val="16"/>
              </w:rPr>
              <w:t>slovakia</w:t>
            </w:r>
          </w:p>
        </w:tc>
        <w:tc>
          <w:tcPr>
            <w:tcW w:w="4319" w:type="dxa"/>
            <w:tcBorders/>
          </w:tcPr>
          <w:p>
            <w:pPr>
              <w:pStyle w:val="Normal"/>
              <w:spacing w:before="0" w:after="0"/>
              <w:rPr/>
            </w:pPr>
            <w:r>
              <w:rPr>
                <w:sz w:val="16"/>
              </w:rPr>
              <w:t>Slovakia</w:t>
            </w:r>
          </w:p>
        </w:tc>
      </w:tr>
      <w:tr>
        <w:trPr/>
        <w:tc>
          <w:tcPr>
            <w:tcW w:w="4320" w:type="dxa"/>
            <w:tcBorders/>
          </w:tcPr>
          <w:p>
            <w:pPr>
              <w:pStyle w:val="Normal"/>
              <w:spacing w:before="0" w:after="0"/>
              <w:rPr/>
            </w:pPr>
            <w:r>
              <w:rPr>
                <w:sz w:val="16"/>
              </w:rPr>
              <w:t>slovenia</w:t>
            </w:r>
          </w:p>
        </w:tc>
        <w:tc>
          <w:tcPr>
            <w:tcW w:w="4319" w:type="dxa"/>
            <w:tcBorders/>
          </w:tcPr>
          <w:p>
            <w:pPr>
              <w:pStyle w:val="Normal"/>
              <w:spacing w:before="0" w:after="0"/>
              <w:rPr/>
            </w:pPr>
            <w:r>
              <w:rPr>
                <w:sz w:val="16"/>
              </w:rPr>
              <w:t>Slovenia</w:t>
            </w:r>
          </w:p>
        </w:tc>
      </w:tr>
      <w:tr>
        <w:trPr/>
        <w:tc>
          <w:tcPr>
            <w:tcW w:w="4320" w:type="dxa"/>
            <w:tcBorders/>
          </w:tcPr>
          <w:p>
            <w:pPr>
              <w:pStyle w:val="Normal"/>
              <w:spacing w:before="0" w:after="0"/>
              <w:rPr/>
            </w:pPr>
            <w:r>
              <w:rPr>
                <w:sz w:val="16"/>
              </w:rPr>
              <w:t>spain</w:t>
            </w:r>
          </w:p>
        </w:tc>
        <w:tc>
          <w:tcPr>
            <w:tcW w:w="4319" w:type="dxa"/>
            <w:tcBorders/>
          </w:tcPr>
          <w:p>
            <w:pPr>
              <w:pStyle w:val="Normal"/>
              <w:spacing w:before="0" w:after="0"/>
              <w:rPr/>
            </w:pPr>
            <w:r>
              <w:rPr>
                <w:sz w:val="16"/>
              </w:rPr>
              <w:t>Spain</w:t>
            </w:r>
          </w:p>
        </w:tc>
      </w:tr>
      <w:tr>
        <w:trPr/>
        <w:tc>
          <w:tcPr>
            <w:tcW w:w="4320" w:type="dxa"/>
            <w:tcBorders/>
          </w:tcPr>
          <w:p>
            <w:pPr>
              <w:pStyle w:val="Normal"/>
              <w:spacing w:before="0" w:after="0"/>
              <w:rPr/>
            </w:pPr>
            <w:r>
              <w:rPr>
                <w:sz w:val="16"/>
              </w:rPr>
              <w:t>suriname</w:t>
            </w:r>
          </w:p>
        </w:tc>
        <w:tc>
          <w:tcPr>
            <w:tcW w:w="4319" w:type="dxa"/>
            <w:tcBorders/>
          </w:tcPr>
          <w:p>
            <w:pPr>
              <w:pStyle w:val="Normal"/>
              <w:spacing w:before="0" w:after="0"/>
              <w:rPr/>
            </w:pPr>
            <w:r>
              <w:rPr>
                <w:sz w:val="16"/>
              </w:rPr>
              <w:t>Suriname</w:t>
            </w:r>
          </w:p>
        </w:tc>
      </w:tr>
      <w:tr>
        <w:trPr/>
        <w:tc>
          <w:tcPr>
            <w:tcW w:w="4320" w:type="dxa"/>
            <w:tcBorders/>
          </w:tcPr>
          <w:p>
            <w:pPr>
              <w:pStyle w:val="Normal"/>
              <w:spacing w:before="0" w:after="0"/>
              <w:rPr/>
            </w:pPr>
            <w:r>
              <w:rPr>
                <w:sz w:val="16"/>
              </w:rPr>
              <w:t>sweden</w:t>
            </w:r>
          </w:p>
        </w:tc>
        <w:tc>
          <w:tcPr>
            <w:tcW w:w="4319" w:type="dxa"/>
            <w:tcBorders/>
          </w:tcPr>
          <w:p>
            <w:pPr>
              <w:pStyle w:val="Normal"/>
              <w:spacing w:before="0" w:after="0"/>
              <w:rPr/>
            </w:pPr>
            <w:r>
              <w:rPr>
                <w:sz w:val="16"/>
              </w:rPr>
              <w:t>Sweden</w:t>
            </w:r>
          </w:p>
        </w:tc>
      </w:tr>
      <w:tr>
        <w:trPr/>
        <w:tc>
          <w:tcPr>
            <w:tcW w:w="4320" w:type="dxa"/>
            <w:tcBorders/>
          </w:tcPr>
          <w:p>
            <w:pPr>
              <w:pStyle w:val="Normal"/>
              <w:spacing w:before="0" w:after="0"/>
              <w:rPr/>
            </w:pPr>
            <w:r>
              <w:rPr>
                <w:sz w:val="16"/>
              </w:rPr>
              <w:t>switzerland</w:t>
            </w:r>
          </w:p>
        </w:tc>
        <w:tc>
          <w:tcPr>
            <w:tcW w:w="4319" w:type="dxa"/>
            <w:tcBorders/>
          </w:tcPr>
          <w:p>
            <w:pPr>
              <w:pStyle w:val="Normal"/>
              <w:spacing w:before="0" w:after="0"/>
              <w:rPr/>
            </w:pPr>
            <w:r>
              <w:rPr>
                <w:sz w:val="16"/>
              </w:rPr>
              <w:t>Switzerland</w:t>
            </w:r>
          </w:p>
        </w:tc>
      </w:tr>
      <w:tr>
        <w:trPr/>
        <w:tc>
          <w:tcPr>
            <w:tcW w:w="4320" w:type="dxa"/>
            <w:tcBorders/>
          </w:tcPr>
          <w:p>
            <w:pPr>
              <w:pStyle w:val="Normal"/>
              <w:spacing w:before="0" w:after="0"/>
              <w:rPr/>
            </w:pPr>
            <w:r>
              <w:rPr>
                <w:sz w:val="16"/>
              </w:rPr>
              <w:t>u 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 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 s 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ukraine</w:t>
            </w:r>
          </w:p>
        </w:tc>
        <w:tc>
          <w:tcPr>
            <w:tcW w:w="4319" w:type="dxa"/>
            <w:tcBorders/>
          </w:tcPr>
          <w:p>
            <w:pPr>
              <w:pStyle w:val="Normal"/>
              <w:spacing w:before="0" w:after="0"/>
              <w:rPr/>
            </w:pPr>
            <w:r>
              <w:rPr>
                <w:sz w:val="16"/>
              </w:rPr>
              <w:t>Ukraine</w:t>
            </w:r>
          </w:p>
        </w:tc>
      </w:tr>
      <w:tr>
        <w:trPr/>
        <w:tc>
          <w:tcPr>
            <w:tcW w:w="4320" w:type="dxa"/>
            <w:tcBorders/>
          </w:tcPr>
          <w:p>
            <w:pPr>
              <w:pStyle w:val="Normal"/>
              <w:spacing w:before="0" w:after="0"/>
              <w:rPr/>
            </w:pPr>
            <w:r>
              <w:rPr>
                <w:sz w:val="16"/>
              </w:rPr>
              <w:t>united kingdom</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united states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uruguay</w:t>
            </w:r>
          </w:p>
        </w:tc>
        <w:tc>
          <w:tcPr>
            <w:tcW w:w="4319" w:type="dxa"/>
            <w:tcBorders/>
          </w:tcPr>
          <w:p>
            <w:pPr>
              <w:pStyle w:val="Normal"/>
              <w:spacing w:before="0" w:after="0"/>
              <w:rPr/>
            </w:pPr>
            <w:r>
              <w:rPr>
                <w:sz w:val="16"/>
              </w:rPr>
              <w:t>Uruguay</w:t>
            </w:r>
          </w:p>
        </w:tc>
      </w:tr>
      <w:tr>
        <w:trPr/>
        <w:tc>
          <w:tcPr>
            <w:tcW w:w="4320" w:type="dxa"/>
            <w:tcBorders/>
          </w:tcPr>
          <w:p>
            <w:pPr>
              <w:pStyle w:val="Normal"/>
              <w:spacing w:before="0" w:after="0"/>
              <w:rPr/>
            </w:pPr>
            <w:r>
              <w:rPr>
                <w:sz w:val="16"/>
              </w:rPr>
              <w:t>us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usa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vatican city</w:t>
            </w:r>
          </w:p>
        </w:tc>
        <w:tc>
          <w:tcPr>
            <w:tcW w:w="4319" w:type="dxa"/>
            <w:tcBorders/>
          </w:tcPr>
          <w:p>
            <w:pPr>
              <w:pStyle w:val="Normal"/>
              <w:spacing w:before="0" w:after="0"/>
              <w:rPr/>
            </w:pPr>
            <w:r>
              <w:rPr>
                <w:sz w:val="16"/>
              </w:rPr>
              <w:t>Vatican City</w:t>
            </w:r>
          </w:p>
        </w:tc>
      </w:tr>
      <w:tr>
        <w:trPr/>
        <w:tc>
          <w:tcPr>
            <w:tcW w:w="4320" w:type="dxa"/>
            <w:tcBorders/>
          </w:tcPr>
          <w:p>
            <w:pPr>
              <w:pStyle w:val="Normal"/>
              <w:spacing w:before="0" w:after="0"/>
              <w:rPr/>
            </w:pPr>
            <w:r>
              <w:rPr>
                <w:sz w:val="16"/>
              </w:rPr>
              <w:t>venezuela</w:t>
            </w:r>
          </w:p>
        </w:tc>
        <w:tc>
          <w:tcPr>
            <w:tcW w:w="4319" w:type="dxa"/>
            <w:tcBorders/>
          </w:tcPr>
          <w:p>
            <w:pPr>
              <w:pStyle w:val="Normal"/>
              <w:spacing w:before="0" w:after="0"/>
              <w:rPr/>
            </w:pPr>
            <w:r>
              <w:rPr>
                <w:sz w:val="16"/>
              </w:rPr>
              <w:t>Venezuela</w:t>
            </w:r>
          </w:p>
        </w:tc>
      </w:tr>
      <w:tr>
        <w:trPr/>
        <w:tc>
          <w:tcPr>
            <w:tcW w:w="4320" w:type="dxa"/>
            <w:tcBorders/>
          </w:tcPr>
          <w:p>
            <w:pPr>
              <w:pStyle w:val="Normal"/>
              <w:widowControl/>
              <w:bidi w:val="0"/>
              <w:spacing w:lineRule="auto" w:line="276" w:before="0" w:after="200"/>
              <w:jc w:val="left"/>
              <w:rPr/>
            </w:pPr>
            <w:r>
              <w:rPr/>
              <w:t>australia</w:t>
            </w:r>
          </w:p>
        </w:tc>
        <w:tc>
          <w:tcPr>
            <w:tcW w:w="4319" w:type="dxa"/>
            <w:tcBorders/>
          </w:tcPr>
          <w:p>
            <w:pPr>
              <w:pStyle w:val="Normal"/>
              <w:widowControl/>
              <w:bidi w:val="0"/>
              <w:spacing w:lineRule="auto" w:line="276" w:before="0" w:after="200"/>
              <w:jc w:val="left"/>
              <w:rPr/>
            </w:pPr>
            <w:r>
              <w:rPr/>
              <w:t>Australia</w:t>
            </w:r>
          </w:p>
        </w:tc>
      </w:tr>
      <w:tr>
        <w:trPr/>
        <w:tc>
          <w:tcPr>
            <w:tcW w:w="4320" w:type="dxa"/>
            <w:tcBorders/>
          </w:tcPr>
          <w:p>
            <w:pPr>
              <w:pStyle w:val="Normal"/>
              <w:widowControl/>
              <w:bidi w:val="0"/>
              <w:spacing w:lineRule="auto" w:line="276" w:before="0" w:after="200"/>
              <w:jc w:val="left"/>
              <w:rPr/>
            </w:pPr>
            <w:r>
              <w:rPr/>
              <w:t>u.s.</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u.s.a.</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china</w:t>
            </w:r>
          </w:p>
        </w:tc>
        <w:tc>
          <w:tcPr>
            <w:tcW w:w="4319" w:type="dxa"/>
            <w:tcBorders/>
          </w:tcPr>
          <w:p>
            <w:pPr>
              <w:pStyle w:val="Normal"/>
              <w:widowControl/>
              <w:bidi w:val="0"/>
              <w:spacing w:lineRule="auto" w:line="276" w:before="0" w:after="200"/>
              <w:jc w:val="left"/>
              <w:rPr/>
            </w:pPr>
            <w:r>
              <w:rPr/>
              <w:t>China</w:t>
            </w:r>
          </w:p>
        </w:tc>
      </w:tr>
      <w:tr>
        <w:trPr/>
        <w:tc>
          <w:tcPr>
            <w:tcW w:w="4320" w:type="dxa"/>
            <w:tcBorders/>
          </w:tcPr>
          <w:p>
            <w:pPr>
              <w:pStyle w:val="Normal"/>
              <w:widowControl/>
              <w:bidi w:val="0"/>
              <w:spacing w:lineRule="auto" w:line="276" w:before="0" w:after="200"/>
              <w:jc w:val="left"/>
              <w:rPr/>
            </w:pPr>
            <w:r>
              <w:rPr/>
              <w:t>egypt</w:t>
            </w:r>
          </w:p>
        </w:tc>
        <w:tc>
          <w:tcPr>
            <w:tcW w:w="4319" w:type="dxa"/>
            <w:tcBorders/>
          </w:tcPr>
          <w:p>
            <w:pPr>
              <w:pStyle w:val="Normal"/>
              <w:widowControl/>
              <w:bidi w:val="0"/>
              <w:spacing w:lineRule="auto" w:line="276" w:before="0" w:after="200"/>
              <w:jc w:val="left"/>
              <w:rPr/>
            </w:pPr>
            <w:r>
              <w:rPr/>
              <w:t>Egypt</w:t>
            </w:r>
          </w:p>
        </w:tc>
      </w:tr>
      <w:tr>
        <w:trPr/>
        <w:tc>
          <w:tcPr>
            <w:tcW w:w="4320" w:type="dxa"/>
            <w:tcBorders/>
          </w:tcPr>
          <w:p>
            <w:pPr>
              <w:pStyle w:val="Normal"/>
              <w:widowControl/>
              <w:bidi w:val="0"/>
              <w:spacing w:lineRule="auto" w:line="276" w:before="0" w:after="200"/>
              <w:jc w:val="left"/>
              <w:rPr/>
            </w:pPr>
            <w:r>
              <w:rPr/>
              <w:t>india</w:t>
            </w:r>
          </w:p>
        </w:tc>
        <w:tc>
          <w:tcPr>
            <w:tcW w:w="4319" w:type="dxa"/>
            <w:tcBorders/>
          </w:tcPr>
          <w:p>
            <w:pPr>
              <w:pStyle w:val="Normal"/>
              <w:widowControl/>
              <w:bidi w:val="0"/>
              <w:spacing w:lineRule="auto" w:line="276" w:before="0" w:after="200"/>
              <w:jc w:val="left"/>
              <w:rPr/>
            </w:pPr>
            <w:r>
              <w:rPr/>
              <w:t>India</w:t>
            </w:r>
          </w:p>
        </w:tc>
      </w:tr>
      <w:tr>
        <w:trPr/>
        <w:tc>
          <w:tcPr>
            <w:tcW w:w="4320" w:type="dxa"/>
            <w:tcBorders/>
          </w:tcPr>
          <w:p>
            <w:pPr>
              <w:pStyle w:val="Normal"/>
              <w:widowControl/>
              <w:bidi w:val="0"/>
              <w:spacing w:lineRule="auto" w:line="276" w:before="0" w:after="200"/>
              <w:jc w:val="left"/>
              <w:rPr/>
            </w:pPr>
            <w:r>
              <w:rPr/>
              <w:t>jamaica</w:t>
            </w:r>
          </w:p>
        </w:tc>
        <w:tc>
          <w:tcPr>
            <w:tcW w:w="4319" w:type="dxa"/>
            <w:tcBorders/>
          </w:tcPr>
          <w:p>
            <w:pPr>
              <w:pStyle w:val="Normal"/>
              <w:widowControl/>
              <w:bidi w:val="0"/>
              <w:spacing w:lineRule="auto" w:line="276" w:before="0" w:after="200"/>
              <w:jc w:val="left"/>
              <w:rPr/>
            </w:pPr>
            <w:r>
              <w:rPr/>
              <w:t>Jamaica</w:t>
            </w:r>
          </w:p>
        </w:tc>
      </w:tr>
      <w:tr>
        <w:trPr/>
        <w:tc>
          <w:tcPr>
            <w:tcW w:w="4320" w:type="dxa"/>
            <w:tcBorders/>
          </w:tcPr>
          <w:p>
            <w:pPr>
              <w:pStyle w:val="Normal"/>
              <w:widowControl/>
              <w:bidi w:val="0"/>
              <w:spacing w:lineRule="auto" w:line="276" w:before="0" w:after="200"/>
              <w:jc w:val="left"/>
              <w:rPr/>
            </w:pPr>
            <w:r>
              <w:rPr/>
              <w:t>japan</w:t>
            </w:r>
          </w:p>
        </w:tc>
        <w:tc>
          <w:tcPr>
            <w:tcW w:w="4319" w:type="dxa"/>
            <w:tcBorders/>
          </w:tcPr>
          <w:p>
            <w:pPr>
              <w:pStyle w:val="Normal"/>
              <w:widowControl/>
              <w:bidi w:val="0"/>
              <w:spacing w:lineRule="auto" w:line="276" w:before="0" w:after="200"/>
              <w:jc w:val="left"/>
              <w:rPr/>
            </w:pPr>
            <w:r>
              <w:rPr/>
              <w:t>Japan</w:t>
            </w:r>
          </w:p>
        </w:tc>
      </w:tr>
      <w:tr>
        <w:trPr/>
        <w:tc>
          <w:tcPr>
            <w:tcW w:w="4320" w:type="dxa"/>
            <w:tcBorders/>
          </w:tcPr>
          <w:p>
            <w:pPr>
              <w:pStyle w:val="Normal"/>
              <w:widowControl/>
              <w:bidi w:val="0"/>
              <w:spacing w:lineRule="auto" w:line="276" w:before="0" w:after="200"/>
              <w:jc w:val="left"/>
              <w:rPr/>
            </w:pPr>
            <w:r>
              <w:rPr/>
              <w:t>new zealand</w:t>
            </w:r>
          </w:p>
        </w:tc>
        <w:tc>
          <w:tcPr>
            <w:tcW w:w="4319" w:type="dxa"/>
            <w:tcBorders/>
          </w:tcPr>
          <w:p>
            <w:pPr>
              <w:pStyle w:val="Normal"/>
              <w:widowControl/>
              <w:bidi w:val="0"/>
              <w:spacing w:lineRule="auto" w:line="276" w:before="0" w:after="200"/>
              <w:jc w:val="left"/>
              <w:rPr/>
            </w:pPr>
            <w:r>
              <w:rPr/>
              <w:t>New Zealand</w:t>
            </w:r>
          </w:p>
        </w:tc>
      </w:tr>
      <w:tr>
        <w:trPr/>
        <w:tc>
          <w:tcPr>
            <w:tcW w:w="4320" w:type="dxa"/>
            <w:tcBorders/>
          </w:tcPr>
          <w:p>
            <w:pPr>
              <w:pStyle w:val="Normal"/>
              <w:widowControl/>
              <w:bidi w:val="0"/>
              <w:spacing w:lineRule="auto" w:line="276" w:before="0" w:after="200"/>
              <w:jc w:val="left"/>
              <w:rPr/>
            </w:pPr>
            <w:r>
              <w:rPr/>
              <w:t>singapore</w:t>
            </w:r>
          </w:p>
        </w:tc>
        <w:tc>
          <w:tcPr>
            <w:tcW w:w="4319" w:type="dxa"/>
            <w:tcBorders/>
          </w:tcPr>
          <w:p>
            <w:pPr>
              <w:pStyle w:val="Normal"/>
              <w:widowControl/>
              <w:bidi w:val="0"/>
              <w:spacing w:lineRule="auto" w:line="276" w:before="0" w:after="200"/>
              <w:jc w:val="left"/>
              <w:rPr/>
            </w:pPr>
            <w:r>
              <w:rPr/>
              <w:t>Singapore</w:t>
            </w:r>
          </w:p>
        </w:tc>
      </w:tr>
      <w:tr>
        <w:trPr/>
        <w:tc>
          <w:tcPr>
            <w:tcW w:w="4320" w:type="dxa"/>
            <w:tcBorders/>
          </w:tcPr>
          <w:p>
            <w:pPr>
              <w:pStyle w:val="Normal"/>
              <w:widowControl/>
              <w:bidi w:val="0"/>
              <w:spacing w:lineRule="auto" w:line="276" w:before="0" w:after="200"/>
              <w:jc w:val="left"/>
              <w:rPr/>
            </w:pPr>
            <w:r>
              <w:rPr/>
              <w:t>south africa</w:t>
            </w:r>
          </w:p>
        </w:tc>
        <w:tc>
          <w:tcPr>
            <w:tcW w:w="4319" w:type="dxa"/>
            <w:tcBorders/>
          </w:tcPr>
          <w:p>
            <w:pPr>
              <w:pStyle w:val="Normal"/>
              <w:widowControl/>
              <w:bidi w:val="0"/>
              <w:spacing w:lineRule="auto" w:line="276" w:before="0" w:after="200"/>
              <w:jc w:val="left"/>
              <w:rPr/>
            </w:pPr>
            <w:r>
              <w:rPr/>
              <w:t>South Africa</w:t>
            </w:r>
          </w:p>
        </w:tc>
      </w:tr>
    </w:tbl>
    <w:p>
      <w:pPr>
        <w:pStyle w:val="Heading3"/>
        <w:rPr/>
      </w:pPr>
      <w:r>
        <w:t>Country search terms</w:t>
      </w:r>
    </w:p>
    <w:p>
      <w:pPr>
        <w:pStyle w:val="Normal"/>
        <w:rPr/>
      </w:pPr>
      <w:r>
        <w:t>North Macedonia, Czech Republic, United Kingdom, Liechtenstein, United States, Vatican City, Herzegovina, Netherlands, Switzerland, Luxembourg, Montenegro, New Zealand, San Marino, South Africa, Argentina, Australia, Lithuania, Venezuela, Bulgaria, Colombia, Jamaica, Paraguay, Portugal, Slovakia, Slovenia, Suriname, Albania, Andorra, Austria, Belarus, Belgium, Bolivia, Croatia, Denmark, Ecuador, England, Estonia, Finland, Germany, Hungary, Iceland, Ireland, Moldova, Romania, Singapore, Ukraine, Uruguay, Bosnia, Brazil, Canada, France, Greece, Guyana, India, Japan, Kosovo, Latvia, Mexico, Monaco, Norway, Panama, Poland, Russia, Serbia, Sweden, Chile, China, Egypt, Italy, Malta, Spain, U.S.A., U S A, Peru, U.S., U K, U S, USA, UK, US</w:t>
      </w:r>
    </w:p>
    <w:p>
      <w:pPr>
        <w:pStyle w:val="Heading3"/>
        <w:rPr/>
      </w:pPr>
      <w:r>
        <w:t>Ambiguous state codes requiring stricter matching</w:t>
      </w:r>
    </w:p>
    <w:p>
      <w:pPr>
        <w:pStyle w:val="Normal"/>
        <w:rPr/>
      </w:pPr>
      <w:r>
        <w:t>HI, IN, MA, OH, OK, OR</w:t>
      </w:r>
    </w:p>
    <w:p>
      <w:pPr>
        <w:pStyle w:val="Heading3"/>
        <w:rPr/>
      </w:pPr>
      <w:r>
        <w:t>Lowercase state codes treated as common/noisy in some contexts</w:t>
      </w:r>
    </w:p>
    <w:p>
      <w:pPr>
        <w:pStyle w:val="Normal"/>
        <w:rPr/>
      </w:pPr>
      <w:r>
        <w:t>CO, DE, HI, ID, IN, LA, MA, ME, MO, OH, OK, OR, PA</w:t>
      </w:r>
    </w:p>
    <w:p>
      <w:pPr>
        <w:pStyle w:val="Heading3"/>
        <w:rPr/>
      </w:pPr>
      <w:r>
        <w:t>Los Angeles shorthand guard</w:t>
      </w:r>
    </w:p>
    <w:p>
      <w:pPr>
        <w:pStyle w:val="Normal"/>
        <w:rPr/>
      </w:pPr>
      <w:r>
        <w:t>Setlist metadata location parsing treats LA and L.A. as Los Angeles only when explicit California evidence immediately follows. Terminal or trailing LA remains the Louisiana state abbreviation. Common/noisy two-letter U.S. codes CO, DE, HI, ID, IN, LA, MA, ME, MO, OH, OK, OR, and PA, plus Canadian postal abbreviations including ON/Ontario, remain uppercase-only by default when newly inferred from free text. A narrow non-compliant path exception applies: an exact lowercase protected code may be accepted when the path-derived location fragment is consistently lowercase. For common/word-like codes such as in, on, or, me, and hi, lowercase acceptance additionally requires stronger location structure: either a comma immediately before the code or a parse containing both venue and city, with noise-word city/venue guards still applied. Mixed-case forms such as On/In remain rejected, and selected-setlist/free-form parsing keeps the uppercase-only rule. Existing narrow compatibility for non-common mixed-case U.S. codes remains; for example Santa Cruz,Ca may resolve to Santa Cruz CA in the comma-delimited parser. A trailing state/region must end the location expression, so The Georgia Satellites cannot be parsed as City The, State GA.</w:t>
      </w:r>
    </w:p>
    <w:p>
      <w:pPr>
        <w:pStyle w:val="Heading3"/>
        <w:rPr/>
      </w:pPr>
      <w:r>
        <w:t>Full state-name anchors</w:t>
      </w:r>
    </w:p>
    <w:p>
      <w:pPr>
        <w:pStyle w:val="Normal"/>
        <w:rPr/>
      </w:pPr>
      <w:r>
        <w:t>Path String2 parsing and setlist header parsing accept full U.S. state names, including multi-word state names, as state/location anchors and normalize them to two-letter state codes. Common/noisy U.S. two-letter codes CO, DE, HI, ID, IN, LA, MA, ME, MO, OH, OK, OR, and PA require uppercase when newly inferred from free-form text; non-common U.S. codes keep the existing compatibility behavior. Built-in Canadian province/territory postal abbreviations and full names are also accepted as region anchors, with uppercase required for all newly inferred two-letter Canadian codes. Canadian unambiguous regions infer Country=Canada; NT is retained as a region but needs explicit country/reference evidence to choose Canada because the abbreviation is shared with Australia. City + state/province/region + country combinations remain supported. U.S. country aliases such as USA, U.S., and U.S.A. must not force USA into the show-name location; the normalized state code is used instead. Non-U.S. country combinations may retain a region/province plus country when supplied.</w:t>
      </w:r>
    </w:p>
    <w:p>
      <w:pPr>
        <w:pStyle w:val="Heading3"/>
        <w:rPr/>
      </w:pPr>
      <w:r>
        <w:t>Setlist metadata header boundary</w:t>
      </w:r>
    </w:p>
    <w:p>
      <w:pPr>
        <w:pStyle w:val="Normal"/>
        <w:rPr/>
      </w:pPr>
      <w:r>
        <w:t>Setlist venue/location/date fallback skips leading false prose/commentary headers, then scans only the header/metadata area before track-list lines or checksum/hash/log sections. Track boundaries include punctuated, plain-numbered, time-bracketed, and file-style forms such as 01., 01 TrackTitle, 1 TrackTitle, 01 [08:23] TrackTitle, Track01, and d1t01. Hash/log boundaries include checksum, ffp, md5, st5, sfv, verification, flac conversion, shntool, aucdtect, individual 32- to 64-character hex hash lines, and runs of filename.ext:&lt;hex&gt; checksum rows for recognized audio extensions. Metadata extraction must not read dates, venues, locations, or artists after those boundaries.</w:t>
      </w:r>
    </w:p>
    <w:p>
      <w:pPr>
        <w:pStyle w:val="Normal"/>
        <w:rPr/>
      </w:pPr>
      <w:r>
        <w:t>Setlist file selection rejects NULL-filled, unreadable, binary-like, empty, no-alphabetic-content, checksum-only, and housekeeping setlist source candidates before name/content scoring. Source candidates include .txt files and supported .rtf, .doc, and .docx exceptions. Parent-folder setlists are eligible only for directly related parent/child structures or all-related wrapper release parts, not broad parents with unrelated children.</w:t>
      </w:r>
    </w:p>
    <w:p>
      <w:pPr>
        <w:pStyle w:val="Heading3"/>
        <w:rPr/>
      </w:pPr>
      <w:r>
        <w:t>Lowercase state-noise words</w:t>
      </w:r>
    </w:p>
    <w:p>
      <w:pPr>
        <w:pStyle w:val="Normal"/>
        <w:rPr/>
      </w:pPr>
      <w:r>
        <w:t>a, all, am, an, and, any, are, as, at, be, believe, by, for, from, go, if, in, into, is, it, live, me, my, of, on, or, part, set, soul, the, to, track, up, with, you, your</w:t>
      </w:r>
    </w:p>
    <w:p>
      <w:pPr>
        <w:pStyle w:val="Heading3"/>
        <w:rPr/>
      </w:pPr>
      <w:r>
        <w:t>City prefix words used by location parsing</w:t>
      </w:r>
    </w:p>
    <w:p>
      <w:pPr>
        <w:pStyle w:val="Normal"/>
        <w:rPr/>
      </w:pPr>
      <w:r>
        <w:t>east, el, fort, ft, la, lake, las, los, lower, mount, mt, new, north, old, port, saint, san, santa, south, st, upper, west</w:t>
      </w:r>
    </w:p>
    <w:p>
      <w:pPr>
        <w:pStyle w:val="Heading3"/>
        <w:rPr/>
      </w:pPr>
      <w:r>
        <w:t>Multipart city prefixes used by Phase 2/3 parsing</w:t>
      </w:r>
    </w:p>
    <w:p>
      <w:pPr>
        <w:pStyle w:val="Normal"/>
        <w:rPr/>
      </w:pPr>
      <w:r>
        <w:t>de la, Guadalupe, Emiliano, Santiago, College, Colonia, Pueblo, Puerto, Rancho, Campo, Cerro, Grand, Great, Lower, Monte, Mount, North, Nueva, Nuevo, Saint, Sankt, Santa, Santo, South, Upper, Valea, Villa, Agua, East, Fort, Lake, Nova, Palo, Port, West, Bad, Las, Les, Los, Nea, New, Old, Rio, Río, San, Sao, Al, El, La, Le</w:t>
      </w:r>
    </w:p>
    <w:p>
      <w:pPr>
        <w:pStyle w:val="Heading3"/>
        <w:rPr/>
      </w:pPr>
      <w:r>
        <w:t>Location/header limits</w:t>
      </w:r>
    </w:p>
    <w:p>
      <w:pPr>
        <w:pStyle w:val="Normal"/>
        <w:rPr/>
      </w:pPr>
      <w:r>
        <w:t>LOCATION_MAX_LEN = 45, HEADER_MAX_LINES = 10, ARTIST_HEADER_LINE_LIMIT = 2, VENUE_HEADER_LINE_LIMIT = 4</w:t>
      </w:r>
    </w:p>
    <w:p>
      <w:pPr>
        <w:pStyle w:val="Heading2"/>
        <w:rPr/>
      </w:pPr>
      <w:r>
        <w:t>E6. Qualifier, 24-bit, and Technical Artist Noise Lists</w:t>
      </w:r>
    </w:p>
    <w:p>
      <w:pPr>
        <w:pStyle w:val="Heading3"/>
        <w:rPr/>
      </w:pPr>
      <w:r>
        <w:t>Qualifier patterns and labels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Pattern</w:t>
            </w:r>
          </w:p>
        </w:tc>
        <w:tc>
          <w:tcPr>
            <w:tcW w:w="4319" w:type="dxa"/>
            <w:tcBorders/>
          </w:tcPr>
          <w:p>
            <w:pPr>
              <w:pStyle w:val="Normal"/>
              <w:spacing w:before="0" w:after="0"/>
              <w:rPr/>
            </w:pPr>
            <w:r>
              <w:rPr>
                <w:sz w:val="16"/>
              </w:rPr>
              <w:t>Label</w:t>
            </w:r>
          </w:p>
        </w:tc>
      </w:tr>
      <w:tr>
        <w:trPr/>
        <w:tc>
          <w:tcPr>
            <w:tcW w:w="4320" w:type="dxa"/>
            <w:tcBorders/>
          </w:tcPr>
          <w:p>
            <w:pPr>
              <w:pStyle w:val="Normal"/>
              <w:spacing w:before="0" w:after="0"/>
              <w:rPr/>
            </w:pPr>
            <w:r>
              <w:rPr>
                <w:sz w:val="16"/>
              </w:rPr>
              <w:t>\bset\s*1\b|\bset\s*one\b|\b1st\s*set\b</w:t>
            </w:r>
          </w:p>
        </w:tc>
        <w:tc>
          <w:tcPr>
            <w:tcW w:w="4319" w:type="dxa"/>
            <w:tcBorders/>
          </w:tcPr>
          <w:p>
            <w:pPr>
              <w:pStyle w:val="Normal"/>
              <w:spacing w:before="0" w:after="0"/>
              <w:rPr/>
            </w:pPr>
            <w:r>
              <w:rPr>
                <w:sz w:val="16"/>
              </w:rPr>
              <w:t>Set 1</w:t>
            </w:r>
          </w:p>
        </w:tc>
      </w:tr>
      <w:tr>
        <w:trPr/>
        <w:tc>
          <w:tcPr>
            <w:tcW w:w="4320" w:type="dxa"/>
            <w:tcBorders/>
          </w:tcPr>
          <w:p>
            <w:pPr>
              <w:pStyle w:val="Normal"/>
              <w:spacing w:before="0" w:after="0"/>
              <w:rPr/>
            </w:pPr>
            <w:r>
              <w:rPr>
                <w:sz w:val="16"/>
              </w:rPr>
              <w:t>\bset\s*2\b|\bset\s*two\b|\b2nd\s*set\b</w:t>
            </w:r>
          </w:p>
        </w:tc>
        <w:tc>
          <w:tcPr>
            <w:tcW w:w="4319" w:type="dxa"/>
            <w:tcBorders/>
          </w:tcPr>
          <w:p>
            <w:pPr>
              <w:pStyle w:val="Normal"/>
              <w:spacing w:before="0" w:after="0"/>
              <w:rPr/>
            </w:pPr>
            <w:r>
              <w:rPr>
                <w:sz w:val="16"/>
              </w:rPr>
              <w:t>Set 2</w:t>
            </w:r>
          </w:p>
        </w:tc>
      </w:tr>
      <w:tr>
        <w:trPr/>
        <w:tc>
          <w:tcPr>
            <w:tcW w:w="4320" w:type="dxa"/>
            <w:tcBorders/>
          </w:tcPr>
          <w:p>
            <w:pPr>
              <w:pStyle w:val="Normal"/>
              <w:spacing w:before="0" w:after="0"/>
              <w:rPr/>
            </w:pPr>
            <w:r>
              <w:rPr>
                <w:sz w:val="16"/>
              </w:rPr>
              <w:t>\bset\s*3\b|\bset\s*three\b|\b3rd\s*set\b</w:t>
            </w:r>
          </w:p>
        </w:tc>
        <w:tc>
          <w:tcPr>
            <w:tcW w:w="4319" w:type="dxa"/>
            <w:tcBorders/>
          </w:tcPr>
          <w:p>
            <w:pPr>
              <w:pStyle w:val="Normal"/>
              <w:spacing w:before="0" w:after="0"/>
              <w:rPr/>
            </w:pPr>
            <w:r>
              <w:rPr>
                <w:sz w:val="16"/>
              </w:rPr>
              <w:t>Set 3</w:t>
            </w:r>
          </w:p>
        </w:tc>
      </w:tr>
      <w:tr>
        <w:trPr/>
        <w:tc>
          <w:tcPr>
            <w:tcW w:w="4320" w:type="dxa"/>
            <w:tcBorders/>
          </w:tcPr>
          <w:p>
            <w:pPr>
              <w:pStyle w:val="Normal"/>
              <w:spacing w:before="0" w:after="0"/>
              <w:rPr/>
            </w:pPr>
            <w:r>
              <w:rPr>
                <w:sz w:val="16"/>
              </w:rPr>
              <w:t>\bearly\b</w:t>
            </w:r>
          </w:p>
        </w:tc>
        <w:tc>
          <w:tcPr>
            <w:tcW w:w="4319" w:type="dxa"/>
            <w:tcBorders/>
          </w:tcPr>
          <w:p>
            <w:pPr>
              <w:pStyle w:val="Normal"/>
              <w:spacing w:before="0" w:after="0"/>
              <w:rPr/>
            </w:pPr>
            <w:r>
              <w:rPr>
                <w:sz w:val="16"/>
              </w:rPr>
              <w:t>Early Show</w:t>
            </w:r>
          </w:p>
        </w:tc>
      </w:tr>
      <w:tr>
        <w:trPr/>
        <w:tc>
          <w:tcPr>
            <w:tcW w:w="4320" w:type="dxa"/>
            <w:tcBorders/>
          </w:tcPr>
          <w:p>
            <w:pPr>
              <w:pStyle w:val="Normal"/>
              <w:spacing w:before="0" w:after="0"/>
              <w:rPr/>
            </w:pPr>
            <w:r>
              <w:rPr>
                <w:sz w:val="16"/>
              </w:rPr>
              <w:t>\blate\b</w:t>
            </w:r>
          </w:p>
        </w:tc>
        <w:tc>
          <w:tcPr>
            <w:tcW w:w="4319" w:type="dxa"/>
            <w:tcBorders/>
          </w:tcPr>
          <w:p>
            <w:pPr>
              <w:pStyle w:val="Normal"/>
              <w:spacing w:before="0" w:after="0"/>
              <w:rPr/>
            </w:pPr>
            <w:r>
              <w:rPr>
                <w:sz w:val="16"/>
              </w:rPr>
              <w:t>Late Show</w:t>
            </w:r>
          </w:p>
        </w:tc>
      </w:tr>
      <w:tr>
        <w:trPr/>
        <w:tc>
          <w:tcPr>
            <w:tcW w:w="4320" w:type="dxa"/>
            <w:tcBorders/>
          </w:tcPr>
          <w:p>
            <w:pPr>
              <w:pStyle w:val="Normal"/>
              <w:spacing w:before="0" w:after="0"/>
              <w:rPr/>
            </w:pPr>
            <w:r>
              <w:rPr>
                <w:sz w:val="16"/>
              </w:rPr>
              <w:t>\bafternoon\b</w:t>
            </w:r>
          </w:p>
        </w:tc>
        <w:tc>
          <w:tcPr>
            <w:tcW w:w="4319" w:type="dxa"/>
            <w:tcBorders/>
          </w:tcPr>
          <w:p>
            <w:pPr>
              <w:pStyle w:val="Normal"/>
              <w:spacing w:before="0" w:after="0"/>
              <w:rPr/>
            </w:pPr>
            <w:r>
              <w:rPr>
                <w:sz w:val="16"/>
              </w:rPr>
              <w:t>Afternoon Show</w:t>
            </w:r>
          </w:p>
        </w:tc>
      </w:tr>
      <w:tr>
        <w:trPr/>
        <w:tc>
          <w:tcPr>
            <w:tcW w:w="4320" w:type="dxa"/>
            <w:tcBorders/>
          </w:tcPr>
          <w:p>
            <w:pPr>
              <w:pStyle w:val="Normal"/>
              <w:spacing w:before="0" w:after="0"/>
              <w:rPr/>
            </w:pPr>
            <w:r>
              <w:rPr>
                <w:sz w:val="16"/>
              </w:rPr>
              <w:t>\bevening\b</w:t>
            </w:r>
          </w:p>
        </w:tc>
        <w:tc>
          <w:tcPr>
            <w:tcW w:w="4319" w:type="dxa"/>
            <w:tcBorders/>
          </w:tcPr>
          <w:p>
            <w:pPr>
              <w:pStyle w:val="Normal"/>
              <w:spacing w:before="0" w:after="0"/>
              <w:rPr/>
            </w:pPr>
            <w:r>
              <w:rPr>
                <w:sz w:val="16"/>
              </w:rPr>
              <w:t>Evening Show</w:t>
            </w:r>
          </w:p>
        </w:tc>
      </w:tr>
      <w:tr>
        <w:trPr/>
        <w:tc>
          <w:tcPr>
            <w:tcW w:w="4320" w:type="dxa"/>
            <w:tcBorders/>
          </w:tcPr>
          <w:p>
            <w:pPr>
              <w:pStyle w:val="Normal"/>
              <w:spacing w:before="0" w:after="0"/>
              <w:rPr/>
            </w:pPr>
            <w:r>
              <w:rPr>
                <w:sz w:val="16"/>
              </w:rPr>
              <w:t>\bacoustic\b</w:t>
            </w:r>
          </w:p>
        </w:tc>
        <w:tc>
          <w:tcPr>
            <w:tcW w:w="4319" w:type="dxa"/>
            <w:tcBorders/>
          </w:tcPr>
          <w:p>
            <w:pPr>
              <w:pStyle w:val="Normal"/>
              <w:spacing w:before="0" w:after="0"/>
              <w:rPr/>
            </w:pPr>
            <w:r>
              <w:rPr>
                <w:sz w:val="16"/>
              </w:rPr>
              <w:t>Acoustic Set</w:t>
            </w:r>
          </w:p>
        </w:tc>
      </w:tr>
      <w:tr>
        <w:trPr/>
        <w:tc>
          <w:tcPr>
            <w:tcW w:w="4320" w:type="dxa"/>
            <w:tcBorders/>
          </w:tcPr>
          <w:p>
            <w:pPr>
              <w:pStyle w:val="Normal"/>
              <w:spacing w:before="0" w:after="0"/>
              <w:rPr/>
            </w:pPr>
            <w:r>
              <w:rPr>
                <w:sz w:val="16"/>
              </w:rPr>
              <w:t>\belectric\b</w:t>
            </w:r>
          </w:p>
        </w:tc>
        <w:tc>
          <w:tcPr>
            <w:tcW w:w="4319" w:type="dxa"/>
            <w:tcBorders/>
          </w:tcPr>
          <w:p>
            <w:pPr>
              <w:pStyle w:val="Normal"/>
              <w:spacing w:before="0" w:after="0"/>
              <w:rPr/>
            </w:pPr>
            <w:r>
              <w:rPr>
                <w:sz w:val="16"/>
              </w:rPr>
              <w:t>Electric Set</w:t>
            </w:r>
          </w:p>
        </w:tc>
      </w:tr>
      <w:tr>
        <w:trPr/>
        <w:tc>
          <w:tcPr>
            <w:tcW w:w="4320" w:type="dxa"/>
            <w:tcBorders/>
          </w:tcPr>
          <w:p>
            <w:pPr>
              <w:pStyle w:val="Normal"/>
              <w:spacing w:before="0" w:after="0"/>
              <w:rPr/>
            </w:pPr>
            <w:r>
              <w:rPr>
                <w:sz w:val="16"/>
              </w:rPr>
              <w:t>\bmatinee\b</w:t>
            </w:r>
          </w:p>
        </w:tc>
        <w:tc>
          <w:tcPr>
            <w:tcW w:w="4319" w:type="dxa"/>
            <w:tcBorders/>
          </w:tcPr>
          <w:p>
            <w:pPr>
              <w:pStyle w:val="Normal"/>
              <w:spacing w:before="0" w:after="0"/>
              <w:rPr/>
            </w:pPr>
            <w:r>
              <w:rPr>
                <w:sz w:val="16"/>
              </w:rPr>
              <w:t>Matinee</w:t>
            </w:r>
          </w:p>
        </w:tc>
      </w:tr>
      <w:tr>
        <w:trPr/>
        <w:tc>
          <w:tcPr>
            <w:tcW w:w="4320" w:type="dxa"/>
            <w:tcBorders/>
          </w:tcPr>
          <w:p>
            <w:pPr>
              <w:pStyle w:val="Normal"/>
              <w:spacing w:before="0" w:after="0"/>
              <w:rPr/>
            </w:pPr>
            <w:r>
              <w:rPr>
                <w:sz w:val="16"/>
              </w:rPr>
              <w:t>\bsoundcheck\b</w:t>
            </w:r>
          </w:p>
        </w:tc>
        <w:tc>
          <w:tcPr>
            <w:tcW w:w="4319" w:type="dxa"/>
            <w:tcBorders/>
          </w:tcPr>
          <w:p>
            <w:pPr>
              <w:pStyle w:val="Normal"/>
              <w:spacing w:before="0" w:after="0"/>
              <w:rPr/>
            </w:pPr>
            <w:r>
              <w:rPr>
                <w:sz w:val="16"/>
              </w:rPr>
              <w:t>Soundcheck</w:t>
            </w:r>
          </w:p>
        </w:tc>
      </w:tr>
      <w:tr>
        <w:trPr/>
        <w:tc>
          <w:tcPr>
            <w:tcW w:w="4320" w:type="dxa"/>
            <w:tcBorders/>
          </w:tcPr>
          <w:p>
            <w:pPr>
              <w:pStyle w:val="Normal"/>
              <w:spacing w:before="0" w:after="0"/>
              <w:rPr/>
            </w:pPr>
            <w:r>
              <w:rPr>
                <w:sz w:val="16"/>
              </w:rPr>
              <w:t>\brehearsal\b</w:t>
            </w:r>
          </w:p>
        </w:tc>
        <w:tc>
          <w:tcPr>
            <w:tcW w:w="4319" w:type="dxa"/>
            <w:tcBorders/>
          </w:tcPr>
          <w:p>
            <w:pPr>
              <w:pStyle w:val="Normal"/>
              <w:spacing w:before="0" w:after="0"/>
              <w:rPr/>
            </w:pPr>
            <w:r>
              <w:rPr>
                <w:sz w:val="16"/>
              </w:rPr>
              <w:t>Rehearsal</w:t>
            </w:r>
          </w:p>
        </w:tc>
      </w:tr>
    </w:tbl>
    <w:p>
      <w:pPr>
        <w:pStyle w:val="Heading3"/>
        <w:rPr/>
      </w:pPr>
      <w:r>
        <w:t>24-bit detection patterns</w:t>
      </w:r>
    </w:p>
    <w:p>
      <w:pPr>
        <w:pStyle w:val="Normal"/>
        <w:rPr/>
      </w:pPr>
      <w:r>
        <w:t>\b24\s*[-_/ ]?bit\b</w:t>
      </w:r>
    </w:p>
    <w:p>
      <w:pPr>
        <w:pStyle w:val="Normal"/>
        <w:rPr/>
      </w:pPr>
      <w:r>
        <w:t>\b24[-_/ ](44|48|88(?:\.2)?|96|176(?:\.4)?|192)\b</w:t>
      </w:r>
    </w:p>
    <w:p>
      <w:pPr>
        <w:pStyle w:val="Normal"/>
        <w:rPr/>
      </w:pPr>
      <w:r>
        <w:t>\b24[-_/ ]?(96|192)k?\b</w:t>
      </w:r>
    </w:p>
    <w:p>
      <w:pPr>
        <w:pStyle w:val="Heading3"/>
        <w:rPr/>
      </w:pPr>
      <w:r>
        <w:t>Technical artist-noise terms</w:t>
      </w:r>
    </w:p>
    <w:p>
      <w:pPr>
        <w:pStyle w:val="Normal"/>
        <w:rPr/>
      </w:pPr>
      <w:r>
        <w:t>16bit, 24bit, aac, alac, ape, aucdtect, aud, cd, checksum, checksums, disc, disk, dvd, easyed, etree, ffp, flac, flac16, flac24, flacs, fm, fpt, info, lossless, m4a, master, md5, mp3, oga, ogg, opus, part, pt, readme, remaster, remastered, sbd, set, shn, shnf, side, source, sources, spectrogram, torrent, tv, txt, unk, unknown, wav</w:t>
      </w:r>
    </w:p>
    <w:p>
      <w:pPr>
        <w:pStyle w:val="Heading2"/>
        <w:rPr/>
      </w:pPr>
      <w:r>
        <w:t>E7. Artist, Database, and Metadata Support Lists</w:t>
      </w:r>
    </w:p>
    <w:p>
      <w:pPr>
        <w:pStyle w:val="Heading3"/>
        <w:rPr/>
      </w:pPr>
      <w:r>
        <w:t>Required SQLite tables and columns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Table</w:t>
            </w:r>
          </w:p>
        </w:tc>
        <w:tc>
          <w:tcPr>
            <w:tcW w:w="4319" w:type="dxa"/>
            <w:tcBorders/>
          </w:tcPr>
          <w:p>
            <w:pPr>
              <w:pStyle w:val="Normal"/>
              <w:spacing w:before="0" w:after="0"/>
              <w:rPr/>
            </w:pPr>
            <w:r>
              <w:rPr>
                <w:sz w:val="16"/>
              </w:rPr>
              <w:t>Required columns</w:t>
            </w:r>
          </w:p>
        </w:tc>
      </w:tr>
      <w:tr>
        <w:trPr/>
        <w:tc>
          <w:tcPr>
            <w:tcW w:w="4320" w:type="dxa"/>
            <w:tcBorders/>
          </w:tcPr>
          <w:p>
            <w:pPr>
              <w:pStyle w:val="Normal"/>
              <w:spacing w:before="0" w:after="0"/>
              <w:rPr/>
            </w:pPr>
            <w:r>
              <w:rPr>
                <w:sz w:val="16"/>
              </w:rPr>
              <w:t>artists</w:t>
            </w:r>
          </w:p>
        </w:tc>
        <w:tc>
          <w:tcPr>
            <w:tcW w:w="4319" w:type="dxa"/>
            <w:tcBorders/>
          </w:tcPr>
          <w:p>
            <w:pPr>
              <w:pStyle w:val="Normal"/>
              <w:spacing w:before="0" w:after="0"/>
              <w:rPr/>
            </w:pPr>
            <w:r>
              <w:rPr>
                <w:sz w:val="16"/>
              </w:rPr>
              <w:t>artist_id, source_row_number, master_name</w:t>
            </w:r>
          </w:p>
        </w:tc>
      </w:tr>
      <w:tr>
        <w:trPr/>
        <w:tc>
          <w:tcPr>
            <w:tcW w:w="4320" w:type="dxa"/>
            <w:tcBorders/>
          </w:tcPr>
          <w:p>
            <w:pPr>
              <w:pStyle w:val="Normal"/>
              <w:spacing w:before="0" w:after="0"/>
              <w:rPr/>
            </w:pPr>
            <w:r>
              <w:rPr>
                <w:sz w:val="16"/>
              </w:rPr>
              <w:t>aliases</w:t>
            </w:r>
          </w:p>
        </w:tc>
        <w:tc>
          <w:tcPr>
            <w:tcW w:w="4319" w:type="dxa"/>
            <w:tcBorders/>
          </w:tcPr>
          <w:p>
            <w:pPr>
              <w:pStyle w:val="Normal"/>
              <w:spacing w:before="0" w:after="0"/>
              <w:rPr/>
            </w:pPr>
            <w:r>
              <w:rPr>
                <w:sz w:val="16"/>
              </w:rPr>
              <w:t>alias_id, artist_id, alias_text, alias_order</w:t>
            </w:r>
          </w:p>
        </w:tc>
      </w:tr>
      <w:tr>
        <w:trPr/>
        <w:tc>
          <w:tcPr>
            <w:tcW w:w="4320" w:type="dxa"/>
            <w:tcBorders/>
          </w:tcPr>
          <w:p>
            <w:pPr>
              <w:pStyle w:val="Normal"/>
              <w:spacing w:before="0" w:after="0"/>
              <w:rPr/>
            </w:pPr>
            <w:r>
              <w:rPr>
                <w:sz w:val="16"/>
              </w:rPr>
              <w:t>terms</w:t>
            </w:r>
          </w:p>
        </w:tc>
        <w:tc>
          <w:tcPr>
            <w:tcW w:w="4319" w:type="dxa"/>
            <w:tcBorders/>
          </w:tcPr>
          <w:p>
            <w:pPr>
              <w:pStyle w:val="Normal"/>
              <w:spacing w:before="0" w:after="0"/>
              <w:rPr/>
            </w:pPr>
            <w:r>
              <w:rPr>
                <w:sz w:val="16"/>
              </w:rPr>
              <w:t>term_id, artist_id, term_text, term_type, term_order</w:t>
            </w:r>
          </w:p>
        </w:tc>
      </w:tr>
    </w:tbl>
    <w:p>
      <w:pPr>
        <w:pStyle w:val="Heading3"/>
        <w:rPr/>
      </w:pPr>
      <w:r>
        <w:t>Metadata source confidence names and weights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Source name</w:t>
            </w:r>
          </w:p>
        </w:tc>
        <w:tc>
          <w:tcPr>
            <w:tcW w:w="4319" w:type="dxa"/>
            <w:tcBorders/>
          </w:tcPr>
          <w:p>
            <w:pPr>
              <w:pStyle w:val="Normal"/>
              <w:spacing w:before="0" w:after="0"/>
              <w:rPr/>
            </w:pPr>
            <w:r>
              <w:rPr>
                <w:sz w:val="16"/>
              </w:rPr>
              <w:t>Weight</w:t>
            </w:r>
          </w:p>
        </w:tc>
      </w:tr>
      <w:tr>
        <w:trPr/>
        <w:tc>
          <w:tcPr>
            <w:tcW w:w="4320" w:type="dxa"/>
            <w:tcBorders/>
          </w:tcPr>
          <w:p>
            <w:pPr>
              <w:pStyle w:val="Normal"/>
              <w:spacing w:before="0" w:after="0"/>
              <w:rPr/>
            </w:pPr>
            <w:r>
              <w:rPr>
                <w:sz w:val="16"/>
              </w:rPr>
              <w:t>fallback_artist_folder</w:t>
            </w:r>
          </w:p>
        </w:tc>
        <w:tc>
          <w:tcPr>
            <w:tcW w:w="4319" w:type="dxa"/>
            <w:tcBorders/>
          </w:tcPr>
          <w:p>
            <w:pPr>
              <w:pStyle w:val="Normal"/>
              <w:spacing w:before="0" w:after="0"/>
              <w:rPr/>
            </w:pPr>
            <w:r>
              <w:rPr>
                <w:sz w:val="16"/>
              </w:rPr>
              <w:t>15</w:t>
            </w:r>
          </w:p>
        </w:tc>
      </w:tr>
      <w:tr>
        <w:trPr/>
        <w:tc>
          <w:tcPr>
            <w:tcW w:w="4320" w:type="dxa"/>
            <w:tcBorders/>
          </w:tcPr>
          <w:p>
            <w:pPr>
              <w:pStyle w:val="Normal"/>
              <w:spacing w:before="0" w:after="0"/>
              <w:rPr/>
            </w:pPr>
            <w:r>
              <w:rPr>
                <w:sz w:val="16"/>
              </w:rPr>
              <w:t>fallback_header_line_1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fallback_header_line_2</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fallback_path_tail</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fallback_setlist_supported</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fallback_show_prefix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flac_tag_albumartist</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flac_tag_artist</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main_dir_name</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main_dir_name_prefix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main_dir_name_tail</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main_dir_path</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main_dir_path_basename</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main_dir_path_full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main_dir_path_prefix</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music_filenames</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path_segment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path_tail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setlist_filename</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setlist_filename_stem</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setlist_full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setlist_header</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setlist_line_1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setlist_line_2</w:t>
            </w:r>
          </w:p>
        </w:tc>
        <w:tc>
          <w:tcPr>
            <w:tcW w:w="4319" w:type="dxa"/>
            <w:tcBorders/>
          </w:tcPr>
          <w:p>
            <w:pPr>
              <w:pStyle w:val="Normal"/>
              <w:spacing w:before="0" w:after="0"/>
              <w:rPr/>
            </w:pPr>
            <w:r>
              <w:rPr>
                <w:sz w:val="16"/>
              </w:rPr>
              <w:t>17</w:t>
            </w:r>
          </w:p>
        </w:tc>
      </w:tr>
      <w:tr>
        <w:trPr/>
        <w:tc>
          <w:tcPr>
            <w:tcW w:w="4320" w:type="dxa"/>
            <w:tcBorders/>
          </w:tcPr>
          <w:p>
            <w:pPr>
              <w:pStyle w:val="Normal"/>
              <w:spacing w:before="0" w:after="0"/>
              <w:rPr/>
            </w:pPr>
            <w:r>
              <w:rPr>
                <w:sz w:val="16"/>
              </w:rPr>
              <w:t>setlist_line_3</w:t>
            </w:r>
          </w:p>
        </w:tc>
        <w:tc>
          <w:tcPr>
            <w:tcW w:w="4319" w:type="dxa"/>
            <w:tcBorders/>
          </w:tcPr>
          <w:p>
            <w:pPr>
              <w:pStyle w:val="Normal"/>
              <w:spacing w:before="0" w:after="0"/>
              <w:rPr/>
            </w:pPr>
            <w:r>
              <w:rPr>
                <w:sz w:val="16"/>
              </w:rPr>
              <w:t>16</w:t>
            </w:r>
          </w:p>
        </w:tc>
      </w:tr>
    </w:tbl>
    <w:p>
      <w:pPr>
        <w:pStyle w:val="Heading2"/>
        <w:rPr/>
      </w:pPr>
      <w:r>
        <w:t>E8. GUI, Logging, Boolean, and Support Enumerations</w:t>
      </w:r>
    </w:p>
    <w:p>
      <w:pPr>
        <w:pStyle w:val="Heading3"/>
        <w:rPr/>
      </w:pPr>
      <w:r>
        <w:t>Command-line option reference</w:t>
      </w:r>
    </w:p>
    <w:p>
      <w:pPr>
        <w:pStyle w:val="Normal"/>
        <w:rPr/>
      </w:pPr>
      <w:r>
        <w:t>The canonical supported and rejected command-line options, defaults, dependencies, hidden compatibility arguments, and application-specific carve-outs are defined in Sections 13 and 13.1. This appendix does not restate them.</w:t>
      </w:r>
    </w:p>
    <w:p>
      <w:pPr>
        <w:pStyle w:val="Heading3"/>
        <w:rPr/>
      </w:pPr>
      <w:r>
        <w:t>GUI fields and visible controls</w:t>
      </w:r>
    </w:p>
    <w:p>
      <w:pPr>
        <w:pStyle w:val="Normal"/>
        <w:rPr/>
      </w:pPr>
      <w:r>
        <w:t>Execution safety: tlo-gi.py and tlo-main.py must initialize multiprocessing freeze support before any CLI, GUI, or inventory logic can create worker processes. GUI Quit and Ctrl-C must use the shared cancellation/worker-termination path before active tokenized log deletion. Performance controls must apply consistently to CLI, GUI, and worker processes.</w:t>
      </w:r>
    </w:p>
    <w:p>
      <w:pPr>
        <w:rPr/>
      </w:pPr>
      <w:r>
        <w:t>Path(s) (the required Search Path input), Performance Mode, Max Workers, Corruption Handling (Corrupt files, Folder removal, Folder corruption threshold), etreeDB, Compliant, Tag In Place, Artist In Album Tag, setlist.fm, setlist.fm Upgrade, Thorough Setlist Matching, Rename Compliantly, Tag Copy, Convert shn, As-Is Artist Name, Proper Grammar, Deep Audio Check, Tag Copy/Delete Original, Dry Run, Delete Extra Tags, Tag, Add New Shows, Research, Manual Tweaks, Quit, Inventory (full), Pause, and Resume are part of the current main window.</w:t>
      </w:r>
    </w:p>
    <w:p>
      <w:pPr>
        <w:pStyle w:val="Heading3"/>
        <w:rPr/>
      </w:pPr>
      <w:r>
        <w:t>Performance mode values</w:t>
      </w:r>
    </w:p>
    <w:p>
      <w:pPr>
        <w:pStyle w:val="Normal"/>
        <w:rPr/>
      </w:pPr>
      <w:r>
        <w:t>gentle, balanced, fast, extreme</w:t>
      </w:r>
    </w:p>
    <w:p>
      <w:pPr>
        <w:pStyle w:val="Heading3"/>
        <w:rPr/>
      </w:pPr>
      <w:r>
        <w:t>Max workers value</w:t>
      </w:r>
    </w:p>
    <w:p>
      <w:pPr>
        <w:pStyle w:val="Normal"/>
        <w:rPr/>
      </w:pPr>
      <w:r>
        <w:t>Integer N &gt;= 0. See Section 2.10 for zero/default semantics, extreme-mode display behavior, and volume-group worker caps.</w:t>
      </w:r>
    </w:p>
    <w:p>
      <w:pPr>
        <w:pStyle w:val="Heading3"/>
        <w:rPr/>
      </w:pPr>
      <w:r>
        <w:t>Boolean true values accepted by parser</w:t>
      </w:r>
    </w:p>
    <w:p>
      <w:pPr>
        <w:pStyle w:val="Normal"/>
        <w:rPr/>
      </w:pPr>
      <w:r>
        <w:t>1, t, true, y, yes</w:t>
      </w:r>
    </w:p>
    <w:p>
      <w:pPr>
        <w:pStyle w:val="Heading3"/>
        <w:rPr/>
      </w:pPr>
      <w:r>
        <w:t>Boolean false values accepted by parser</w:t>
      </w:r>
    </w:p>
    <w:p>
      <w:pPr>
        <w:pStyle w:val="Normal"/>
        <w:rPr/>
      </w:pPr>
      <w:r>
        <w:t>0, f, false, n, no</w:t>
      </w:r>
    </w:p>
    <w:p>
      <w:pPr>
        <w:pStyle w:val="Heading3"/>
        <w:rPr/>
      </w:pPr>
      <w:r>
        <w:t>Short log file prefixes</w:t>
      </w:r>
    </w:p>
    <w:p>
      <w:pPr>
        <w:pStyle w:val="Heading3"/>
        <w:rPr/>
      </w:pPr>
      <w:r>
        <w:t>confX.log, deadX.log, compX.log, dupsX.log, groupsX.log, metaX.log, tagsX.txt, tageX.txt</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Log role</w:t>
            </w:r>
          </w:p>
        </w:tc>
        <w:tc>
          <w:tcPr>
            <w:tcW w:w="4319" w:type="dxa"/>
            <w:tcBorders/>
          </w:tcPr>
          <w:p>
            <w:pPr>
              <w:pStyle w:val="Normal"/>
              <w:spacing w:before="0" w:after="0"/>
              <w:rPr/>
            </w:pPr>
            <w:r>
              <w:rPr>
                <w:sz w:val="16"/>
              </w:rPr>
              <w:t>Filename prefix</w:t>
            </w:r>
          </w:p>
        </w:tc>
      </w:tr>
      <w:tr>
        <w:trPr/>
        <w:tc>
          <w:tcPr>
            <w:tcW w:w="4320" w:type="dxa"/>
            <w:tcBorders/>
          </w:tcPr>
          <w:p>
            <w:pPr>
              <w:pStyle w:val="Normal"/>
              <w:spacing w:before="0" w:after="0"/>
              <w:rPr/>
            </w:pPr>
            <w:r>
              <w:rPr>
                <w:sz w:val="16"/>
              </w:rPr>
              <w:t>complete_paths</w:t>
            </w:r>
          </w:p>
        </w:tc>
        <w:tc>
          <w:tcPr>
            <w:tcW w:w="4319" w:type="dxa"/>
            <w:tcBorders/>
          </w:tcPr>
          <w:p>
            <w:pPr>
              <w:pStyle w:val="Normal"/>
              <w:spacing w:before="0" w:after="0"/>
              <w:rPr/>
            </w:pPr>
            <w:r>
              <w:rPr>
                <w:sz w:val="16"/>
              </w:rPr>
              <w:t>comp</w:t>
            </w:r>
          </w:p>
        </w:tc>
      </w:tr>
      <w:tr>
        <w:trPr/>
        <w:tc>
          <w:tcPr>
            <w:tcW w:w="4320" w:type="dxa"/>
            <w:tcBorders/>
          </w:tcPr>
          <w:p>
            <w:pPr>
              <w:pStyle w:val="Normal"/>
              <w:spacing w:before="0" w:after="0"/>
              <w:rPr/>
            </w:pPr>
            <w:r>
              <w:rPr>
                <w:sz w:val="16"/>
              </w:rPr>
              <w:t>conflicts</w:t>
            </w:r>
          </w:p>
        </w:tc>
        <w:tc>
          <w:tcPr>
            <w:tcW w:w="4319" w:type="dxa"/>
            <w:tcBorders/>
          </w:tcPr>
          <w:p>
            <w:pPr>
              <w:pStyle w:val="Normal"/>
              <w:spacing w:before="0" w:after="0"/>
              <w:rPr/>
            </w:pPr>
            <w:r>
              <w:rPr>
                <w:sz w:val="16"/>
              </w:rPr>
              <w:t>conf</w:t>
            </w:r>
          </w:p>
        </w:tc>
      </w:tr>
      <w:tr>
        <w:trPr/>
        <w:tc>
          <w:tcPr>
            <w:tcW w:w="4320" w:type="dxa"/>
            <w:tcBorders/>
          </w:tcPr>
          <w:p>
            <w:pPr>
              <w:pStyle w:val="Normal"/>
              <w:spacing w:before="0" w:after="0"/>
              <w:rPr/>
            </w:pPr>
            <w:r>
              <w:rPr>
                <w:sz w:val="16"/>
              </w:rPr>
              <w:t>dead_end</w:t>
            </w:r>
          </w:p>
        </w:tc>
        <w:tc>
          <w:tcPr>
            <w:tcW w:w="4319" w:type="dxa"/>
            <w:tcBorders/>
          </w:tcPr>
          <w:p>
            <w:pPr>
              <w:pStyle w:val="Normal"/>
              <w:spacing w:before="0" w:after="0"/>
              <w:rPr/>
            </w:pPr>
            <w:r>
              <w:rPr>
                <w:sz w:val="16"/>
              </w:rPr>
              <w:t>dead</w:t>
            </w:r>
          </w:p>
        </w:tc>
      </w:tr>
      <w:tr>
        <w:trPr/>
        <w:tc>
          <w:tcPr>
            <w:tcW w:w="4320" w:type="dxa"/>
            <w:tcBorders/>
          </w:tcPr>
          <w:p>
            <w:pPr>
              <w:pStyle w:val="Normal"/>
              <w:spacing w:before="0" w:after="0"/>
              <w:rPr/>
            </w:pPr>
            <w:r>
              <w:rPr>
                <w:sz w:val="16"/>
              </w:rPr>
              <w:t>duplicate</w:t>
            </w:r>
          </w:p>
        </w:tc>
        <w:tc>
          <w:tcPr>
            <w:tcW w:w="4319" w:type="dxa"/>
            <w:tcBorders/>
          </w:tcPr>
          <w:p>
            <w:pPr>
              <w:pStyle w:val="Normal"/>
              <w:spacing w:before="0" w:after="0"/>
              <w:rPr/>
            </w:pPr>
            <w:r>
              <w:rPr>
                <w:sz w:val="16"/>
              </w:rPr>
              <w:t>dups</w:t>
            </w:r>
          </w:p>
        </w:tc>
      </w:tr>
      <w:tr>
        <w:trPr/>
        <w:tc>
          <w:tcPr>
            <w:tcW w:w="4320" w:type="dxa"/>
            <w:tcBorders/>
          </w:tcPr>
          <w:p>
            <w:pPr>
              <w:pStyle w:val="Normal"/>
              <w:spacing w:before="0" w:after="0"/>
              <w:rPr/>
            </w:pPr>
            <w:r>
              <w:rPr>
                <w:sz w:val="16"/>
              </w:rPr>
              <w:t>groups</w:t>
            </w:r>
          </w:p>
        </w:tc>
        <w:tc>
          <w:tcPr>
            <w:tcW w:w="4319" w:type="dxa"/>
            <w:tcBorders/>
          </w:tcPr>
          <w:p>
            <w:pPr>
              <w:pStyle w:val="Normal"/>
              <w:spacing w:before="0" w:after="0"/>
              <w:rPr/>
            </w:pPr>
            <w:r>
              <w:rPr>
                <w:sz w:val="16"/>
              </w:rPr>
              <w:t>groups</w:t>
            </w:r>
          </w:p>
        </w:tc>
      </w:tr>
      <w:tr>
        <w:trPr/>
        <w:tc>
          <w:tcPr>
            <w:tcW w:w="4320" w:type="dxa"/>
            <w:tcBorders/>
          </w:tcPr>
          <w:p>
            <w:pPr>
              <w:pStyle w:val="Normal"/>
              <w:spacing w:before="0" w:after="0"/>
              <w:rPr/>
            </w:pPr>
            <w:r>
              <w:rPr>
                <w:sz w:val="16"/>
              </w:rPr>
              <w:t>show_metadata</w:t>
            </w:r>
          </w:p>
        </w:tc>
        <w:tc>
          <w:tcPr>
            <w:tcW w:w="4319" w:type="dxa"/>
            <w:tcBorders/>
          </w:tcPr>
          <w:p>
            <w:pPr>
              <w:pStyle w:val="Normal"/>
              <w:spacing w:before="0" w:after="0"/>
              <w:rPr/>
            </w:pPr>
            <w:r>
              <w:rPr>
                <w:sz w:val="16"/>
              </w:rPr>
              <w:t>meta</w:t>
            </w:r>
          </w:p>
        </w:tc>
      </w:tr>
      <w:tr>
        <w:trPr/>
        <w:tc>
          <w:tcPr>
            <w:tcW w:w="4320" w:type="dxa"/>
            <w:tcBorders/>
          </w:tcPr>
          <w:p>
            <w:pPr>
              <w:pStyle w:val="Normal"/>
              <w:widowControl/>
              <w:bidi w:val="0"/>
              <w:spacing w:lineRule="auto" w:line="276" w:before="0" w:after="200"/>
              <w:jc w:val="left"/>
              <w:rPr/>
            </w:pPr>
            <w:r>
              <w:rPr/>
              <w:t>tag</w:t>
            </w:r>
          </w:p>
        </w:tc>
        <w:tc>
          <w:tcPr>
            <w:tcW w:w="4319" w:type="dxa"/>
            <w:tcBorders/>
          </w:tcPr>
          <w:p>
            <w:pPr>
              <w:pStyle w:val="Normal"/>
              <w:widowControl/>
              <w:bidi w:val="0"/>
              <w:spacing w:lineRule="auto" w:line="276" w:before="0" w:after="200"/>
              <w:jc w:val="left"/>
              <w:rPr/>
            </w:pPr>
            <w:r>
              <w:rPr/>
              <w:t>tag</w:t>
            </w:r>
          </w:p>
        </w:tc>
      </w:tr>
    </w:tbl>
    <w:p>
      <w:pPr>
        <w:pStyle w:val="Heading3"/>
        <w:rPr/>
      </w:pPr>
      <w:r>
        <w:t>Log token character ranges</w:t>
      </w:r>
    </w:p>
    <w:p>
      <w:pPr>
        <w:pStyle w:val="Normal"/>
        <w:rPr/>
      </w:pPr>
      <w:r>
        <w:t>0-9, A-Z. If a run would require more simultaneous tokens than this range provides, the program must report a readable error before writing tokenized logs.</w:t>
      </w:r>
    </w:p>
    <w:p>
      <w:pPr>
        <w:pStyle w:val="Heading3"/>
        <w:rPr/>
      </w:pPr>
      <w:r>
        <w:t>Database/location filename constants</w:t>
      </w:r>
    </w:p>
    <w:p>
      <w:pPr>
        <w:pStyle w:val="Heading3"/>
        <w:rPr/>
      </w:pPr>
      <w:r>
        <w:t>Setlist metadata support files in TLO_DBs</w:t>
      </w:r>
    </w:p>
    <w:p>
      <w:pPr>
        <w:pStyle w:val="ListBullet"/>
        <w:numPr>
          <w:ilvl w:val="0"/>
          <w:numId w:val="1"/>
        </w:numPr>
        <w:rPr/>
      </w:pPr>
      <w:r>
        <w:t>Non-compliant setlist date extraction uses the selected setlist text and the standard date patterns. Non-compliant setlist venue/location extraction uses venues.txt and may use cities.csv, states_regions.csv, and countries.csv from TLOHome/TLO_DBs when those files are available. Canadian province/territory postal abbreviations and full names are built into the parser and do not require states_regions.csv. Missing venues.txt disables local setlist venue/location checking with an observation or startup/reporting message rather than silent success.</w:t>
      </w:r>
    </w:p>
    <w:p>
      <w:pPr>
        <w:pStyle w:val="Normal"/>
        <w:rPr/>
      </w:pPr>
      <w:r>
        <w:t>TLO_DBS_DIRNAME = TLO_DBs, ARTIST_SQLITE_DB_FILENAME = artists.sqlite, VENUE_REFERENCE_DB_FILENAME = venues.txt</w:t>
      </w:r>
    </w:p>
    <w:p>
      <w:pPr>
        <w:pStyle w:val="Heading1"/>
        <w:rPr/>
      </w:pPr>
      <w:r>
        <w:t>Appendix F - Code List Coverage Review</w:t>
      </w:r>
    </w:p>
    <w:p>
      <w:pPr>
        <w:pStyle w:val="Normal"/>
        <w:rPr/>
      </w:pPr>
      <w:r>
        <w:t>The following static list families are represented in Appendix E: media extensions, sampled-audio tag extensions, Phase 1 pruned directories, wrapper patterns, setlist candidate patterns, housekeeping rejection patterns, checksum patterns, date patterns, month aliases, state codes, state aliases, country aliases, city prefix terms, multipart city prefixes, qualifier labels, 24-bit detection patterns, technical artist-noise terms, SQLite table requirements, metadata source names, CLI/GUI enumerations, boolean parser values, and log prefixes.</w:t>
      </w:r>
    </w:p>
    <w:p>
      <w:pPr>
        <w:pStyle w:val="Normal"/>
        <w:rPr/>
      </w:pPr>
      <w:r>
        <w:t>Runtime containers such as empty caches, per-run result lists, and local accumulators are intentionally not represented as static requirements lists.</w:t>
      </w:r>
    </w:p>
    <w:p>
      <w:pPr>
        <w:pStyle w:val="Heading1"/>
        <w:rPr/>
      </w:pPr>
      <w:r>
        <w:t>Appendix G - Artist Database Schema</w:t>
      </w:r>
    </w:p>
    <w:p>
      <w:pPr>
        <w:pStyle w:val="Normal"/>
        <w:rPr/>
      </w:pPr>
      <w:r>
        <w:t>SQLite schema</w:t>
      </w:r>
    </w:p>
    <w:p>
      <w:pPr>
        <w:pStyle w:val="Heading2"/>
        <w:rPr/>
      </w:pPr>
      <w:r>
        <w:t>Table: artists</w:t>
      </w:r>
    </w:p>
    <w:p>
      <w:pPr>
        <w:pStyle w:val="Normal"/>
        <w:rPr/>
      </w:pPr>
      <w:r>
        <w:t>artist_id INTEGER PRIMARY KEY</w:t>
      </w:r>
    </w:p>
    <w:p>
      <w:pPr>
        <w:pStyle w:val="Normal"/>
        <w:rPr/>
      </w:pPr>
      <w:r>
        <w:t>source_row_number INTEGER NOT NULL UNIQUE</w:t>
      </w:r>
    </w:p>
    <w:p>
      <w:pPr>
        <w:pStyle w:val="Normal"/>
        <w:rPr/>
      </w:pPr>
      <w:r>
        <w:t>master_name TEXT NOT NULL</w:t>
      </w:r>
    </w:p>
    <w:p>
      <w:pPr>
        <w:pStyle w:val="ListBullet"/>
        <w:numPr>
          <w:ilvl w:val="0"/>
          <w:numId w:val="1"/>
        </w:numPr>
        <w:rPr/>
      </w:pPr>
      <w:r>
        <w:t>One row per source CSV row.</w:t>
      </w:r>
    </w:p>
    <w:p>
      <w:pPr>
        <w:pStyle w:val="ListBullet"/>
        <w:numPr>
          <w:ilvl w:val="0"/>
          <w:numId w:val="1"/>
        </w:numPr>
        <w:rPr/>
      </w:pPr>
      <w:r>
        <w:t>source_row_number is the original line number in the input file.</w:t>
      </w:r>
    </w:p>
    <w:p>
      <w:pPr>
        <w:pStyle w:val="ListBullet"/>
        <w:numPr>
          <w:ilvl w:val="0"/>
          <w:numId w:val="1"/>
        </w:numPr>
        <w:rPr/>
      </w:pPr>
      <w:r>
        <w:t>master_name is the first cell of the CSV row.</w:t>
      </w:r>
    </w:p>
    <w:p>
      <w:pPr>
        <w:pStyle w:val="Heading2"/>
        <w:rPr/>
      </w:pPr>
      <w:r>
        <w:t>Table: aliases</w:t>
      </w:r>
    </w:p>
    <w:p>
      <w:pPr>
        <w:pStyle w:val="Normal"/>
        <w:rPr/>
      </w:pPr>
      <w:r>
        <w:t>alias_id INTEGER PRIMARY KEY</w:t>
      </w:r>
    </w:p>
    <w:p>
      <w:pPr>
        <w:pStyle w:val="Normal"/>
        <w:rPr/>
      </w:pPr>
      <w:r>
        <w:t>artist_id INTEGER NOT NULL</w:t>
      </w:r>
    </w:p>
    <w:p>
      <w:pPr>
        <w:pStyle w:val="Normal"/>
        <w:rPr/>
      </w:pPr>
      <w:r>
        <w:t>alias_text TEXT NOT NULL</w:t>
      </w:r>
    </w:p>
    <w:p>
      <w:pPr>
        <w:pStyle w:val="Normal"/>
        <w:rPr/>
      </w:pPr>
      <w:r>
        <w:t>alias_order INTEGER NOT NULL</w:t>
      </w:r>
    </w:p>
    <w:p>
      <w:pPr>
        <w:pStyle w:val="Normal"/>
        <w:rPr/>
      </w:pPr>
      <w:r>
        <w:t>Foreign key: artist_id -&gt; artists.artist_id</w:t>
      </w:r>
    </w:p>
    <w:p>
      <w:pPr>
        <w:pStyle w:val="ListBullet"/>
        <w:numPr>
          <w:ilvl w:val="0"/>
          <w:numId w:val="1"/>
        </w:numPr>
        <w:rPr/>
      </w:pPr>
      <w:r>
        <w:t>One row per alias cell from the source CSV.</w:t>
      </w:r>
    </w:p>
    <w:p>
      <w:pPr>
        <w:pStyle w:val="ListBullet"/>
        <w:numPr>
          <w:ilvl w:val="0"/>
          <w:numId w:val="1"/>
        </w:numPr>
        <w:rPr/>
      </w:pPr>
      <w:r>
        <w:t>alias_order preserves the alias position within the source row, starting at 1.</w:t>
      </w:r>
    </w:p>
    <w:p>
      <w:pPr>
        <w:pStyle w:val="Heading2"/>
        <w:rPr/>
      </w:pPr>
      <w:r>
        <w:t>Table: terms</w:t>
      </w:r>
    </w:p>
    <w:p>
      <w:pPr>
        <w:pStyle w:val="Normal"/>
        <w:rPr/>
      </w:pPr>
      <w:r>
        <w:t>term_id INTEGER PRIMARY KEY</w:t>
      </w:r>
    </w:p>
    <w:p>
      <w:pPr>
        <w:pStyle w:val="Normal"/>
        <w:rPr/>
      </w:pPr>
      <w:r>
        <w:t>artist_id INTEGER NOT NULL</w:t>
      </w:r>
    </w:p>
    <w:p>
      <w:pPr>
        <w:pStyle w:val="Normal"/>
        <w:rPr/>
      </w:pPr>
      <w:r>
        <w:t>term_text TEXT NOT NULL</w:t>
      </w:r>
    </w:p>
    <w:p>
      <w:pPr>
        <w:pStyle w:val="Normal"/>
        <w:rPr/>
      </w:pPr>
      <w:r>
        <w:t>term_type TEXT NOT NULL CHECK(term_type IN ('master', 'alias'))</w:t>
      </w:r>
    </w:p>
    <w:p>
      <w:pPr>
        <w:pStyle w:val="Normal"/>
        <w:rPr/>
      </w:pPr>
      <w:r>
        <w:t>term_order INTEGER NOT NULL</w:t>
      </w:r>
    </w:p>
    <w:p>
      <w:pPr>
        <w:pStyle w:val="Normal"/>
        <w:rPr/>
      </w:pPr>
      <w:r>
        <w:t>Foreign key: artist_id -&gt; artists.artist_id</w:t>
      </w:r>
    </w:p>
    <w:p>
      <w:pPr>
        <w:pStyle w:val="ListBullet"/>
        <w:numPr>
          <w:ilvl w:val="0"/>
          <w:numId w:val="1"/>
        </w:numPr>
        <w:rPr/>
      </w:pPr>
      <w:r>
        <w:t>This table flattens the master name and aliases into one searchable list.</w:t>
      </w:r>
    </w:p>
    <w:p>
      <w:pPr>
        <w:pStyle w:val="ListBullet"/>
        <w:numPr>
          <w:ilvl w:val="0"/>
          <w:numId w:val="1"/>
        </w:numPr>
        <w:rPr/>
      </w:pPr>
      <w:r>
        <w:t>term_type is "master" for the master name and "alias" for alias rows.</w:t>
      </w:r>
    </w:p>
    <w:p>
      <w:pPr>
        <w:pStyle w:val="ListBullet"/>
        <w:numPr>
          <w:ilvl w:val="0"/>
          <w:numId w:val="1"/>
        </w:numPr>
        <w:rPr/>
      </w:pPr>
      <w:r>
        <w:t>term_order is 0 for the master name and matches alias_order for aliases.</w:t>
      </w:r>
    </w:p>
    <w:p>
      <w:pPr>
        <w:pStyle w:val="Heading2"/>
        <w:rPr/>
      </w:pPr>
      <w:r>
        <w:t>Indexes</w:t>
      </w:r>
    </w:p>
    <w:p>
      <w:pPr>
        <w:pStyle w:val="Normal"/>
        <w:rPr/>
      </w:pPr>
      <w:r>
        <w:t>idx_artists_master_name on artists(master_name)</w:t>
      </w:r>
    </w:p>
    <w:p>
      <w:pPr>
        <w:pStyle w:val="Normal"/>
        <w:rPr/>
      </w:pPr>
      <w:r>
        <w:t>idx_aliases_artist_id on aliases(artist_id)</w:t>
      </w:r>
    </w:p>
    <w:p>
      <w:pPr>
        <w:pStyle w:val="Normal"/>
        <w:rPr/>
      </w:pPr>
      <w:r>
        <w:t>idx_aliases_alias_text on aliases(alias_text)</w:t>
      </w:r>
    </w:p>
    <w:p>
      <w:pPr>
        <w:pStyle w:val="Normal"/>
        <w:rPr/>
      </w:pPr>
      <w:r>
        <w:t>idx_terms_artist_id on terms(artist_id)</w:t>
      </w:r>
    </w:p>
    <w:p>
      <w:pPr>
        <w:pStyle w:val="Normal"/>
        <w:rPr/>
      </w:pPr>
      <w:r>
        <w:t>idx_terms_term_text on terms(term_text)</w:t>
      </w:r>
    </w:p>
    <w:p>
      <w:pPr>
        <w:pStyle w:val="Heading2"/>
        <w:rPr/>
      </w:pPr>
      <w:r>
        <w:t>GUI myTLO reference</w:t>
      </w:r>
    </w:p>
    <w:p>
      <w:pPr>
        <w:pStyle w:val="Normal"/>
        <w:rPr/>
      </w:pPr>
      <w:r>
        <w:t>See Section 2.3 for the canonical --myTLO precedence and GUI visibility rule.</w:t>
      </w:r>
    </w:p>
    <w:p>
      <w:pPr>
        <w:pStyle w:val="Heading1"/>
        <w:rPr/>
      </w:pPr>
      <w:r>
        <w:t>Appendix H - eTreeDB Venue and Location Lookup</w:t>
      </w:r>
    </w:p>
    <w:p>
      <w:pPr>
        <w:pStyle w:val="Normal"/>
        <w:rPr/>
      </w:pPr>
      <w:r>
        <w:t>This appendix documents the eTreeDB interface used when --etree-lookup is enabled. Section 9 is canonical for source precedence, usable-result criteria, fill-blanks-only behavior, and disagreement handling.</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Primary lookup resolves the exact artist using artistsRoot(name eq), then uses the nested Artist.performances relationship filtered by year.</w:t>
      </w:r>
    </w:p>
    <w:p>
      <w:pPr>
        <w:pStyle w:val="ListBullet"/>
        <w:numPr>
          <w:ilvl w:val="0"/>
          <w:numId w:val="1"/>
        </w:numPr>
        <w:rPr/>
      </w:pPr>
      <w:r>
        <w:t>The implementation must not use top-level performances(...) as either the primary lookup or fallback path.</w:t>
      </w:r>
    </w:p>
    <w:p>
      <w:pPr>
        <w:pStyle w:val="ListBullet"/>
        <w:numPr>
          <w:ilvl w:val="0"/>
          <w:numId w:val="1"/>
        </w:numPr>
        <w:rPr/>
      </w:pPr>
      <w:r>
        <w:t>If the query fails or no matching performance remains after local filtering, record an observation and continue according to Section 9.</w:t>
      </w:r>
    </w:p>
    <w:p>
      <w:pPr>
        <w:pStyle w:val="Heading2"/>
        <w:rPr/>
      </w:pPr>
      <w:r>
        <w:t>Lookup sequence</w:t>
      </w:r>
    </w:p>
    <w:p>
      <w:pPr>
        <w:pStyle w:val="Normal"/>
        <w:rPr/>
      </w:pPr>
      <w:r>
        <w:t>Step 1: Resolve the exact artist using artistsRoot.name eq. The lookup intentionally avoids contains matching so that related performers do not satisfy the request.</w:t>
      </w:r>
    </w:p>
    <w:p>
      <w:pPr>
        <w:pStyle w:val="Normal"/>
        <w:rPr/>
      </w:pPr>
      <w:r>
        <w:t>Step 2: Query the nested performances relationship from the exact artist node and filter that relationship by year.</w:t>
      </w:r>
    </w:p>
    <w:p>
      <w:pPr>
        <w:pStyle w:val="Normal"/>
        <w:rPr/>
      </w:pPr>
      <w:r>
        <w:t>Step 3: Normalize returned Performance.date strings locally because eTreeDB exposes date as a String. Malformed or unreasonable returned date strings must be treated as unusable date values rather than escaping the lookup boundary as an unexpected exception.</w:t>
      </w:r>
    </w:p>
    <w:p>
      <w:pPr>
        <w:pStyle w:val="Normal"/>
        <w:rPr/>
      </w:pPr>
      <w:r>
        <w:t>Step 4: Select nested performances whose normalized date equals the requested yyyy-mm-dd date.</w:t>
      </w:r>
    </w:p>
    <w:p>
      <w:pPr>
        <w:pStyle w:val="Normal"/>
        <w:rPr/>
      </w:pPr>
      <w:r>
        <w:t>Returned metadata fields used by TLO for venue/location lookup: venue, city, state, normalized date, performance ID, and artist. Returned setlist fields used only for tagging title fallback: set1, set2, and set3.</w:t>
      </w:r>
    </w:p>
    <w:p>
      <w:pPr>
        <w:pStyle w:val="Normal"/>
        <w:rPr/>
      </w:pPr>
      <w:r>
        <w:t>For eTreeDB tag-title fallback, normalize set1/set2/set3 in set number order. Convert &amp;gt and &amp;gt; to &gt;, remove encore-only marker lines, split single-line comma-delimited song lists into individual titles, normalize or assign continuous leading track numbers, and continue numbering across sets. Use the eTreeDB titles only when the number of parsed titles equals the number of music files being tagged; otherwise log the mismatch and continue with existing fallback behavior.</w:t>
      </w:r>
    </w:p>
    <w:p>
      <w:pPr>
        <w:pStyle w:val="Normal"/>
        <w:rPr/>
      </w:pPr>
      <w:r>
        <w:t>Application of returned venue/location fields follows Section 9. eTreeDB fills blank fields only, preserves existing metadata, and records non-equivalent disagreements as observations.</w:t>
      </w:r>
    </w:p>
    <w:p>
      <w:pPr>
        <w:pStyle w:val="Normal"/>
        <w:rPr/>
      </w:pPr>
      <w:r>
        <w:t>The eTreeDB GraphQL user agent must identify this integration as tlo-etreedb-venue-lookup/6.0. Successful and HTTP-error response bodies must remain bounded; an oversized HTTP error body must still be reported as an eTreeDB lookup error rather than escape as a generic read-size exception.</w:t>
      </w:r>
    </w:p>
    <w:p>
      <w:pPr>
        <w:pStyle w:val="Heading1"/>
        <w:rPr/>
      </w:pPr>
      <w:r>
        <w:t>Appendix I - setlist.fm Venue and Location Lookup</w:t>
      </w:r>
    </w:p>
    <w:p>
      <w:pPr>
        <w:pStyle w:val="Normal"/>
        <w:rPr/>
      </w:pPr>
      <w:r>
        <w:t>This appendix documents the setlist.fm last-resort service interface. Section 9 is canonical for source precedence, lookup eligibility, usable-result criteria, fill-blanks-only behavior, and disagreement handling.</w:t>
      </w:r>
    </w:p>
    <w:p>
      <w:pPr>
        <w:pStyle w:val="ListBullet"/>
      </w:pPr>
      <w:r>
        <w:t>The setlist.fm API key is read from SETLISTFM_API_KEY. The key must not be exposed in logs or user-facing output. setlist.fm Upgrade additionally requires SETLISTFMUPGRADE_API_KEY or SETLISTFM_UPGRADE_API_KEY, containing the same API key value. Environment resolution uses an explicit nonblank process/session value first. On Windows, a persisted User/System environment value is used only as fallback when the corresponding process value is missing or blank. If the normal key is unavailable, the GUI must force both setlist.fm checkboxes unchecked and disabled. If the normal key exists but neither upgrade variable is available, normal setlist.fm remains available but setlist.fm Upgrade remains unchecked and disabled. If the upgrade value is present but does not exactly match the normal key, upgrade remains unchecked and disabled. The GUI provides a non-secret missing/mismatch reason without displaying either key. Key comparison must operate on UTF-8 bytes so malformed/non-ASCII input cannot crash GUI or CLI startup. Control or invisible characters produce a non-secret invalid-characters status. Process/session values are authoritative when present; persisted Windows values may fill only variables missing or blank in the process tier, and diagnostic text may identify the source variable/tier but never its value.</w:t>
      </w:r>
    </w:p>
    <w:p>
      <w:pPr>
        <w:pStyle w:val="Normal"/>
        <w:rPr/>
      </w:pPr>
      <w:r>
        <w:t>See Section 9 for the canonical --setlistfm-lookup dependency, command-line startup-error behavior, and usable-result definition.</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Invocation position and non-overwrite behavior follow Section 9. In normal mode, setlist.fm is queried only when enabled, required Artist/Date inputs exist, and eTreeDB did not return a usable venue/location result for the current show. Thorough Setlist Matching is the explicit exception: when enabled, setlist.fm may be queried proactively for corroboration/deconfliction even after a usable eTreeDB result. Compliant mode has no selected-setlist metadata stage.</w:t>
      </w:r>
    </w:p>
    <w:p>
      <w:pPr>
        <w:pStyle w:val="ListBullet"/>
        <w:numPr>
          <w:ilvl w:val="0"/>
          <w:numId w:val="1"/>
        </w:numPr>
        <w:rPr/>
      </w:pPr>
      <w:r>
        <w:t>The API date is converted from yyyy-mm-dd to dd-MM-yyyy.</w:t>
      </w:r>
    </w:p>
    <w:p>
      <w:pPr>
        <w:pStyle w:val="ListBullet"/>
        <w:numPr>
          <w:ilvl w:val="0"/>
          <w:numId w:val="1"/>
        </w:numPr>
        <w:rPr/>
      </w:pPr>
      <w:r>
        <w:t>The request searches /search/setlists using artistName and date.</w:t>
      </w:r>
    </w:p>
    <w:p>
      <w:pPr>
        <w:pStyle w:val="ListBullet"/>
        <w:numPr>
          <w:ilvl w:val="0"/>
          <w:numId w:val="1"/>
        </w:numPr>
        <w:rPr/>
      </w:pPr>
      <w:r>
        <w:t>Returned setlists are parsed for artist, event date, venue name, city name, state, state code, country name, country code, setlist URL, and venue URL.</w:t>
      </w:r>
    </w:p>
    <w:p>
      <w:pPr>
        <w:pStyle w:val="Heading2"/>
        <w:rPr/>
      </w:pPr>
      <w:r>
        <w:t>Artist matching</w:t>
      </w:r>
    </w:p>
    <w:p>
      <w:pPr>
        <w:pStyle w:val="ListBullet"/>
        <w:numPr>
          <w:ilvl w:val="0"/>
          <w:numId w:val="1"/>
        </w:numPr>
        <w:rPr/>
      </w:pPr>
      <w:r>
        <w:t>Normalize artist names by case-folding and removing punctuation. Use setlist.fm venue/location or setlist candidates only from returned results whose normalized artist exactly matches the requested artist. If no exact normalized artist match exists, treat the lookup as no result; fuzzy same-date results from a different artist must not contribute metadata. A future alias exception may be added only when independently confirmed by the Artist DB.</w:t>
      </w:r>
    </w:p>
    <w:p>
      <w:pPr>
        <w:pStyle w:val="Heading2"/>
        <w:rPr/>
      </w:pPr>
      <w:r>
        <w:t>Metadata contribution and final Show construction</w:t>
      </w:r>
    </w:p>
    <w:p>
      <w:pPr>
        <w:pStyle w:val="ListBullet"/>
        <w:numPr>
          <w:ilvl w:val="0"/>
          <w:numId w:val="1"/>
        </w:numPr>
        <w:rPr/>
      </w:pPr>
      <w:r>
        <w:t>For United States results, prefer stateCode when available and contribute Venue, City, and Region metadata. setlist.fm lookup does not independently construct the final Show name. Final Show construction follows the canonical Section 11 formatting, including City, ST with the comma when both City and U.S. state/region are present.</w:t>
      </w:r>
    </w:p>
    <w:p>
      <w:pPr>
        <w:pStyle w:val="ListBullet"/>
        <w:numPr>
          <w:ilvl w:val="0"/>
          <w:numId w:val="1"/>
        </w:numPr>
        <w:rPr/>
      </w:pPr>
      <w:r>
        <w:t>For non-United States results, contribute Venue, City, and Country metadata. When a setlist.fm result supplies a recognized Canadian province/territory code, retain that code as Region and retain/infer Canada as Country rather than discarding the province. Final Show construction follows Section 11 and the shared location formatter rather than an Appendix-I-specific string shape.</w:t>
      </w:r>
    </w:p>
    <w:p>
      <w:pPr>
        <w:pStyle w:val="Heading2"/>
        <w:rPr/>
      </w:pPr>
      <w:r>
        <w:t>Request throttling</w:t>
      </w:r>
    </w:p>
    <w:p>
      <w:pPr>
        <w:pStyle w:val="ListBullet"/>
      </w:pPr>
      <w:r>
        <w:t>The source-bundle setlistFM.py compatibility CLI must delegate to tlo_setlistfm_lookup rather than reimplement the API. It therefore uses the same TLOHome coordination state, rate limits, quotas, lock deadline, response parsing, and bounded error handling as inventory-time setlist.fm lookup. Oversized HTTP error bodies must remain contained within the setlist.fm lookup error boundary.</w:t>
      </w:r>
    </w:p>
    <w:p>
      <w:pPr>
        <w:pStyle w:val="ListBullet"/>
        <w:numPr>
          <w:ilvl w:val="0"/>
          <w:numId w:val="1"/>
        </w:numPr>
        <w:rPr/>
      </w:pPr>
      <w:r>
        <w:t>Normal setlist.fm access must be rate-limited to at most one request every 600 milliseconds across local inventory worker processes. When both setlist.fm and setlist.fm Upgrade are selected, and an accepted setlist.fm Upgrade-enable environment variable is present, upgraded access instead permits at most 14 requests per second, implemented as a minimum interval of 1/14 second between reservations. The interprocess rate-limit lock must not be held while a worker sleeps before its own request. Coordination state must be stored under TLOHome/logs/setlistfm-state, not in the shared system temporary directory. State updates must use same-directory temporary files and atomic replacement, and symlinked state or lock paths must be rejected. Thorough Setlist Matching does not raise these limits by itself. With setlist.fm enabled but upgrade disabled, Thorough mode remains subject to this normal spacing and 1,400-call run cap and may therefore take longer or collect fewer setlist.fm candidates. With both Thorough Setlist Matching and setlist.fm Upgrade enabled, the same evidence/deconfliction rules apply but TLO may collect the additional setlist.fm candidates at upgraded capacity. Upgrade must never increase setlist.fm source authority merely because more requests are available.</w:t>
      </w:r>
    </w:p>
    <w:p>
      <w:pPr>
        <w:pStyle w:val="ListBullet"/>
        <w:numPr>
          <w:ilvl w:val="0"/>
          <w:numId w:val="1"/>
        </w:numPr>
        <w:rPr/>
      </w:pPr>
      <w:r>
        <w:t>Normal setlist.fm access remains capped at 1,400 calls per inventory run. When upgraded access is active, the 1,400-per-run cap is replaced by a shared limit of 48,000 requests per UTC calendar day across setlist.fm clients and inventory worker processes using the same TLOHome coordination state; independent simultaneous inventory-mutating runs against that TLOHome are separately prohibited by the inventory-instance lock. A worker may wait no more than 20 seconds to acquire the interprocess reservation lock. Persisted last-request timestamps more than one configured interval in the future must be treated as corrupt state, and any rate-spacing sleep must be clamped to no more than one configured minimum interval. On lock timeout or quota exhaustion, setlist.fm lookup must record an observation and allow inventory to continue without that lookup rather than wait indefinitely.</w:t>
      </w:r>
    </w:p>
    <w:p>
      <w:pPr>
        <w:pStyle w:val="Heading1"/>
      </w:pPr>
      <w:r>
        <w:t>Appendix J - Independent Update Metadata Signing</w:t>
      </w:r>
    </w:p>
    <w:p>
      <w:r>
        <w:t>TLO update trust is independent of GitHub release-publisher authority. GitHub release/API metadata is discovery information only and is not sufficient to authorize an update.</w:t>
      </w:r>
    </w:p>
    <w:p>
      <w:r>
        <w:t>Every update or complete ZIP eligible for the in-application updater must be listed in TLO_UPDATE_METADATA.json with its exact asset name, byte size, SHA-256 digest, build number, package kind, and platform/layout. TLO_UPDATE_METADATA.sig must contain an RSA-3072 PKCS#1 v1.5 SHA-256 signature over the canonical metadata JSON. Schema 1 signed metadata must include a nonblank release_tag binding the metadata to the exact GitHub release tag.</w:t>
      </w:r>
    </w:p>
    <w:p>
      <w:r>
        <w:t>The application contains a pinned public update-signing key injected by the trusted local build process. The RSA modulus must be at least 3072 bits; smaller injected keys are rejected before signature exponentiation. The signed release_tag is mandatory and must exactly match the candidate GitHub release tag. For every genuinely newer release, update checking fails closed when the pinned key is absent, the signed metadata/signature assets are absent or malformed, signature verification fails, or signed asset identity/size/hash conflicts with GitHub or the downloaded ZIP. A release whose recognizable build number is older than or equal to the installed build is rejected by build comparison before signature verification because it is not an update candidate. Schema 1 semantics remain fixed and include no signed expiry/revocation fields. The deferred IA-05/schema-2 design is planned to add signed issued_utc, expires_utc, and minimum_acceptable_build fields together with a bootstrap/key-rotation procedure; those semantics require a new metadata schema version rather than silently changing schema 1.</w:t>
      </w:r>
    </w:p>
    <w:p>
      <w:r>
        <w:t>The private update-signing key must never be stored in GitHub, source control, GitHub Actions, or a release asset. It is generated on the trusted Windows release computer and protected with Windows DPAPI for the current user. After GitHub produces the ordinary release ZIPs, the release owner downloads those ZIPs, signs their metadata locally, and re-uploads TLO_UPDATE_METADATA.json and TLO_UPDATE_METADATA.sig.</w:t>
      </w:r>
    </w:p>
    <w:p>
      <w:pPr/>
      <w:r>
        <w:t>Update preference/settings JSON writes and structured/line-log pruning must use a same-directory temporary file followed by an atomic os.replace commit. Log pruning must decode/encode with surrogateescape so undecodable bytes round-trip rather than being silently discarded; an interrupted/failed replacement must leave the previously committed settings/log bytes intact.</w:t>
      </w:r>
    </w:p>
    <w:p>
      <w:r>
        <w:t>The local signing workflow is: New-TLOUpdateSigningKey.ps1 once; normal Run-TLO-GitHub-Build.ps1 using the generated public-key JSON; then Protect-TLORelease.ps1 -Tag &lt;release-tag&gt; after the ZIP assets exist. Re-running Protect-TLORelease.ps1 replaces the two signed metadata assets with signatures covering the ZIPs currently downloaded from that release.</w:t>
      </w:r>
    </w:p>
    <w:p>
      <w:r>
        <w:t>FFmpeg redistribution: TLO native packages must not include binaries configured with --enable-nonfree or --enable-gpl. Audio-only builds are sourced from a SHA-256 pinned FFmpeg 9.0.2 upstream source archive. Source, LGPL terms, configure recipe and platform binary provenance must accompany all released native packages. Public release is blocked until native builds, codec regressions and legal compliance have been verified.</w:t>
      </w:r>
    </w:p>
    <w:p>
      <w:r>
        <w:t>FFmpeg redistribution: TLO native packages must not include binaries configured with --enable-nonfree or --enable-gpl. Audio-only builds are sourced from a SHA-256 pinned FFmpeg 9.0.2 upstream source archive. Source, LGPL terms, configure recipe and platform binary provenance must accompany all released native packages. Public release is blocked until native builds, codec regressions and legal compliance have been verified.</w:t>
      </w:r>
    </w:p>
    <w:p>
      <w:r>
        <w:t>FFmpeg redistribution: TLO native packages must not include binaries configured with --enable-nonfree or --enable-gpl. Audio-only builds are sourced from a SHA-256 pinned FFmpeg 9.0.2 upstream source archive. Source, LGPL terms, configure recipe and platform binary provenance must accompany all released native packages. Public release is blocked until native builds, codec regressions and legal compliance have been verified.</w:t>
      </w:r>
    </w:p>
    <w:p>
      <w:r>
        <w:t>FFmpeg redistribution: TLO native packages must not include binaries configured with --enable-nonfree or --enable-gpl. Audio-only builds are sourced from a SHA-256 pinned FFmpeg 9.0.2 upstream source archive. Source, LGPL terms, configure recipe and platform binary provenance must accompany all released native packages. Public release is blocked until native builds, codec regressions and legal compliance have been verified.</w:t>
      </w:r>
    </w:p>
    <w:p>
      <w:r>
        <w:t>Build 584 release integration: Native platform builds and Windows signing passed hosted Build 583, but final release assembly rejected legitimate FFmpeg LGPL source directory. Process v116 now recognizes and checks THIRD_PARTY/FFmpeg for every platform, ensuring complete/update ZIPs preserve the required source, notices, recipe and provenance and Windows onedir remains a single shared _internal directory. No application behavior change.</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ＭＳ 明朝" w:cs="" w:asciiTheme="minorHAnsi" w:cstheme="minorBidi" w:eastAsiaTheme="minorEastAsia" w:hAnsiTheme="minorHAnsi"/>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TLO</cp:category>
  <dcterms:created xsi:type="dcterms:W3CDTF">2013-12-23T23:15:00Z</dcterms:created>
  <dc:creator>python-docx</dc:creator>
  <dc:description>Build 561 native Windows trusted PowerShell path resolution for physical-drive scheduling.</dc:description>
  <cp:keywords>TLO, Inventory, Requirements, v1.7, Build 561, Recycle Bin, corruption safety</cp:keywords>
  <dc:language>en-US</dc:language>
  <cp:lastModifiedBy/>
  <dcterms:modified xsi:type="dcterms:W3CDTF">2026-10-06T20:04:00Z</dcterms:modified>
  <cp:revision>1</cp:revision>
  <dc:subject>Consolidated current specification for TLO v1.7 Build 584</dc:subject>
  <dc:title>TLO Inventory Requirements - v1.7 Build 584</dc:title>
</cp:coreProperties>
</file>