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v394 (v1.4 Build 394).</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paths may come from the command line using --search-path STRING.</w:t>
      </w:r>
    </w:p>
    <w:p>
      <w:pPr>
        <w:pStyle w:val="ListBullet"/>
        <w:numPr>
          <w:ilvl w:val="0"/>
          <w:numId w:val="1"/>
        </w:numPr>
        <w:rPr/>
      </w:pPr>
      <w:r>
        <w:t>Search paths may also come from TLOHome/toBeInventoried.txt when --search-path is not supplied.</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If --search-path is supplied, ignore toBeInventoried.txt and process only the supplied search path.</w:t>
      </w:r>
    </w:p>
    <w:p>
      <w:pPr>
        <w:pStyle w:val="ListBullet"/>
        <w:numPr>
          <w:ilvl w:val="0"/>
          <w:numId w:val="1"/>
        </w:numPr>
        <w:rPr/>
      </w:pPr>
      <w: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 search path from toBeInventoried.txt.</w:t>
      </w:r>
    </w:p>
    <w:p>
      <w:pPr>
        <w:pStyle w:val="ListBullet"/>
        <w:numPr>
          <w:ilvl w:val="0"/>
          <w:numId w:val="1"/>
        </w:numPr>
        <w:rPr/>
      </w:pPr>
      <w:r>
        <w:t>A slam value may also be supplied from the command line using --$slam STRING, or legacy -$slam STRING, when --search-path STRING is supplied.</w:t>
      </w:r>
    </w:p>
    <w:p>
      <w:pPr>
        <w:pStyle w:val="ListBullet"/>
        <w:numPr>
          <w:ilvl w:val="0"/>
          <w:numId w:val="1"/>
        </w:numPr>
        <w:rPr/>
      </w:pPr>
      <w:r>
        <w:t>--$slam/-$slam must not be accepted by itself. If supplied without --search-path,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Starting tlo-gi v1.4 Build XX</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the six PyInstaller executables (search-artist-db, tlo-gsi, tlo-gi, tlo-research, tlo-ggi, and tlo-tag) directly under apps/Windows with exactly one shared apps/Windows/_internal runtime folder; tlo-deleteDupes remains a separate launcher/private-runtime application.</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and the complete candidate returns no Artist DB match, retry the Artist DB lookup once after removing that terminal word, case-insensitively. The complete candidate is always searched first and wins if it exists. Accept the stripped retry only when it resolves to exactly one master name; ambiguous stripped results remain unresolved. When the retry succeeds, use the matched Artist DB master name under the normal artist-evidence precedence rules.</w:t>
      </w:r>
    </w:p>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if the year is less than 35, prefix it with 20; otherwise prefix it with 19.</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34 -&gt; 2034</w:t>
      </w:r>
    </w:p>
    <w:p>
      <w:pPr>
        <w:pStyle w:val="Normal"/>
        <w:rPr/>
      </w:pPr>
      <w:r>
        <w:t>35 -&gt; 1935</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Music Tag Metadata Check</w:t>
      </w:r>
    </w:p>
    <w:p>
      <w:pPr>
        <w:pStyle w:val="Heading2"/>
        <w:rPr/>
      </w:pPr>
      <w:r>
        <w:t>6.1 Artist Tags</w:t>
      </w:r>
    </w:p>
    <w:p>
      <w:pPr>
        <w:pStyle w:val="ListBullet"/>
        <w:numPr>
          <w:ilvl w:val="0"/>
          <w:numId w:val="1"/>
        </w:numPr>
        <w:rPr/>
      </w:pPr>
      <w: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tag artist that resolves unambiguously in the Artist DB is authoritative for the show artist. Store the DB master name (or the As-Is artist spelling when that option is selected) and do not continue path artist identification for that show.</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low-precedence FLAC tag evidence, ALBUMARTIST wins over ARTIST. If both are populated and disagree after the normal blank/noise checks, consider usable ALBUMARTIST values before ARTIST values. This preference does not raise tag evidence above stronger path, structured setlist, selected-setlist-filename, $slam, or other higher-priority artist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The relevant path is always the directory that contains the music files; there is no separate main dir path concept for metadata extraction.</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If an uppercase state abbreviation is found but not at the end of String2, strip leading whitespace and dashes from the remaining substring after the state and treat it as a single PARENTHETICAL.</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Then, after removing that date, apply the conservative String2 venue/location parser. A state/country-anchored location with no unexplained trailing text is strong enough to establish venue/location evidence. If a complete date or strong venue/location evidence is found, continue normal performance metadata processing and do not enter album mode.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FLAC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runs last and may fill only fields still blank.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If the artist is not identified, the show should be empty and the path should be added to the to-be-resolved list.</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t>Append new unresolved paths, then at the end of the run sort the file alphabetically and remove duplicates.</w:t>
      </w:r>
    </w:p>
    <w:p>
      <w:pPr>
        <w:pStyle w:val="ListBullet"/>
        <w:numPr>
          <w:ilvl w:val="0"/>
          <w:numId w:val="1"/>
        </w:numPr>
        <w:rPr/>
      </w:pPr>
      <w:r>
        <w:t>If the artist is blank, do not include the show in the output CSV.</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and setlist.fm upgrade.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The inventory CLI must not accept --tag-path. tagPath is defined only for the tlo-ggi.py Tag launcher and tlo-tag.py; it must not affect full inventory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GUI default display rules can follow Section 2.10 without duplicating parser-specific logic.</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r>
        <w:t xml:space="preserv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and directly beneath it a checkbox titled setlist.fm upgrade, mapped to --setlistfm-upgrade. The upgrade checkbox has no effect unless setlist.fm itself is enabled.</w:t>
      </w:r>
    </w:p>
    <w:p>
      <w:pPr>
        <w:pStyle w:val="ListBullet"/>
        <w:numPr>
          <w:ilvl w:val="0"/>
          <w:numId w:val="1"/>
        </w:numPr>
        <w:rPr/>
      </w:pPr>
      <w: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Artist in Album Tag defaults to checked.</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v1.4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Indicate Search Path and Slam are optional overrides directly beneath their respective labels.</w:t>
      </w:r>
    </w:p>
    <w:p>
      <w:pPr>
        <w:pStyle w:val="ListBullet"/>
        <w:numPr>
          <w:ilvl w:val="0"/>
          <w:numId w:val="1"/>
        </w:numPr>
        <w:rPr/>
      </w:pPr>
      <w:r>
        <w:t>Include Tag, Add Shows (incremental), Research, Reverse Copy/Delete + Rename, Quit, Inventory (full), Pause, and Resume buttons in the main button row. Include a Dry run checkbox in the main options grid. Tag must display at the far left. Add Shows (incremental), Reverse Copy/Delete + Rename, and Inventory (full) must each use concise two-line labels where needed to keep the main row readable.</w:t>
      </w:r>
    </w:p>
    <w:p>
      <w:pPr>
        <w:pStyle w:val="ListBullet"/>
        <w:numPr>
          <w:ilvl w:val="0"/>
          <w:numId w:val="1"/>
        </w:numPr>
        <w:rPr/>
      </w:pPr>
      <w:r>
        <w:t>Main button layout: Tag is at the far left, Add Shows / (incremental) is immediately to its right, followed by Research and Reverse Copy/Delete / + Rename in the left action group; Quit is centered; and Inventory / (full), Pause, and Resume are grouped on the right. All main-row buttons must use the same main-button style and remain usable when the window is resized.</w:t>
      </w:r>
    </w:p>
    <w:p>
      <w:pPr>
        <w:pStyle w:val="ListBullet"/>
      </w:pPr>
      <w:r>
        <w:t>The Reverse Copy/Delete + Rename button must reverse only a previously logged combined Full Inventory Tag Copy/Delete Original and Rename Compliantly operation. It restores folder location and folder name only; it must not attempt to restore, remove, or otherwise change audio tags.</w:t>
      </w:r>
    </w:p>
    <w:p>
      <w:pPr>
        <w:pStyle w:val="ListBullet"/>
      </w:pPr>
      <w:r>
        <w:t>Clicking Reverse Copy/Delete + Rename must resolve TLOHome with the same shared precedence and validation used by Inventory (--myTLO, then --TLOHome, then the TLOHome environment variable) and open a child window showing the resolved TLOHome. The window must ask for Original Partition / Path and Copy/Delete Destination. Original Partition / Path accepts a currently mounted visible volume/partition label, a rooted platform drive/root such as D, D:, D:\, or /mnt/d, or a full original path such as D:\somePath or /mnt/d/somePath. A current volume label is only a way to resolve the current mount/root; it is not required to match the historical label recorded by TLO. A named current partition that is not mounted or that resolves to more than one root must be rejected rather than guessed. The Copy/Delete Destination must be an existing fully qualified directory.</w:t>
      </w:r>
    </w:p>
    <w:p>
      <w:pPr>
        <w:pStyle w:val="ListBullet"/>
      </w:pPr>
      <w:r>
        <w:t>Reverse discovery must read TLOHome/logs success-tag logs (current tags*.txt and compatible legacy tag*.log) and use only files that explicitly record TAG_DURING_INVENTORY mode=copy-and-delete with rename compliantly=yes. Successful TAG_COPY_DELETE_MOVE or TAG_COPY_DELETE_COPY source -&gt; destination lines remain the authoritative exact mapping. Historical volume labels and drive letters are identification evidence only and may differ from the current partition. TLO must identify one applicable success log before moving any folder. Candidate-log scoring may use current/original path correspondence, exact destination-folder matches, and artist+date combinations found in logged/current folder names. Artist comparison used for log identification must tolerate common ordering changes including Last, First -&gt; First Last and Name, The &lt;-&gt; The Name. If candidate logs are tied, TLO must stop and require a narrower Original Partition / Path rather than guess.</w:t>
      </w:r>
    </w:p>
    <w:p>
      <w:pPr>
        <w:pStyle w:val="ListBullet"/>
      </w:pPr>
      <w:r>
        <w:t>Once one success log has been identified, reversal must use only that log and must not search other logs again during execution. All eligible combined-operation mappings in the selected log are considered. Logged original paths are remapped to the current Original Partition / Path: a full-path input may replace the historical search-root drive/volume while preserving the path below that root, and a partition/root input remaps from the historical volume root to the current root. Logged destinations are remapped beneath the currently supplied Copy/Delete Destination. Duplicate mappings must be de-duplicated. Artist/date normalization is used only to identify the log and must never be used to choose a physical folder for restoration.</w:t>
      </w:r>
    </w:p>
    <w:p>
      <w:pPr>
        <w:pStyle w:val="ListBullet"/>
      </w:pPr>
      <w:r>
        <w:t>Before execution the Reverse window must report the selected success-log filename, the evidence used to identify it, the number of logged mappings, and the number of exact logged destination folders currently present, then ask for confirmation. For each mapping, if the exact logged/remapped destination exists and the original path is absent, TLO restores the folder to the exact logged original name/location. If the original path already exists, TLO must not overwrite or merge it; both trees are left untouched and the item is reported as a conflict. If the exact logged destination is absent (for example because the folder was manually renamed or moved after TLO processing), TLO must leave destination contents alone, must not perform a fuzzy folder search, and must report the mapping as skipped unmatched. Already-restored mappings are reported without further searching.</w:t>
      </w:r>
    </w:p>
    <w:p>
      <w:pPr>
        <w:pStyle w:val="ListBullet"/>
      </w:pPr>
      <w:r>
        <w:t>A same-filesystem reverse must use a directory rename/move and must not perform a redundant size comparison. A cross-filesystem reverse must copy the complete current folder tree, including non-music files and empty descendant directories, verify relative file paths and file sizes plus descendant directory structure, and only then delete the current moved/copy tree. A failed copy or verification must leave the current tree intact and remove any partial newly-created original tree. Reverse activity must append the selected log/evidence and per-folder results to TLOHome/logs/reverseCopyDelete.log and append the action, original input/resolved path, selected log, and destination to TLOHome/logs/runSettings.log. The Reverse button/window must not overlap active Full Inventory, Add Shows, or Tag operations.</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w:t>
      </w:r>
    </w:p>
    <w:p>
      <w:pPr>
        <w:pStyle w:val="ListBullet"/>
        <w:numPr>
          <w:ilvl w:val="0"/>
          <w:numId w:val="1"/>
        </w:numPr>
        <w:rPr/>
      </w:pPr>
      <w:r>
        <w:t>The main GUI window title bar must read TLO Inventory GUI v1.4 Build XX, where XX is the current bundle number.</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v1.4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t>tlo-ggi.py must accept --tag-path STRING as a tagger-only launcher value. If supplied, it pre-populates the tagger path field and must not be passed into or used by full inventory or Add Shows processing.</w:t>
      </w:r>
    </w:p>
    <w:p>
      <w:pPr>
        <w:pStyle w:val="Normal"/>
        <w:rPr/>
      </w:pPr>
      <w: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Rename Compliantly; Tag Copy; Convert shn; As-Is Artist Name; Tag Copy/Delete Original; Dry run. After that common section, report workflow-specific paths or path sources, destinations, duplicate checking, performance settings, applicable warnings, and the action that will occur.</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be the active/default action for the Research dialog, and pressing Enter while focus is anywhere within that Research dialog shall be equivalent to Search.</w:t>
      </w:r>
    </w:p>
    <w:p>
      <w:pPr/>
      <w:r>
        <w:t>A successful GUI research operation shall display the same formatted result produced by the standalone tlo-research command in a new non-wrapping text window with vertical scrolling and a horizontal scrollbar along the bottom of the results box. Search errors, missing TLOHome/logs, or invalid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active-run tokenized logs, and exit the process.</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non-keeper member of that content-equivalence cluster shall still be moved into the duplicates holding folder. The selected keeper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partial x-placeholder dates such as 2001-04-1x, 2004-0x-xx, 202x-xx-xx, and xxxx-xx-xx, plus a standalone four-digit 19xx/20xx year.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t>Appendix B - Open Issues and Future Clarifications</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A tag artist that resolves unambiguously in the Artist DB remains authoritative and is stored using the DB master name unless As-Is Artist Name is selected. A candidate tag artist that does not resolve in the Artist DB is deferred rather than allowed to block path identification. DB-backed path evidence and explicit selected-setlist artist metadata are checked first; the deferred raw tag is used only if no stronger artist is found. This prevents track-title/date-like tag values such as "01 - Introduction - WMMS" or "1976-05" from overriding an obvious DB-backed path artist such as Firefall. Compliant-mode FLAC 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FLAC tag-reader extensions</w:t>
      </w:r>
    </w:p>
    <w:p>
      <w:pPr>
        <w:pStyle w:val="Normal"/>
        <w:rPr/>
      </w:pPr>
      <w:r>
        <w:t>The current tag reader samples tags only from these extensions in non-compliant mode, and non-compliant mode always runs those tag checks regardless of Performance Mode. See Section 8 for compliant-mode FLAC tag exclusion.</w:t>
      </w:r>
    </w:p>
    <w:p>
      <w:pPr>
        <w:pStyle w:val="Normal"/>
        <w:rPr/>
      </w:pPr>
      <w:r>
        <w:t>.flac</w:t>
      </w:r>
    </w:p>
    <w:p>
      <w:pPr>
        <w:pStyle w:val="Heading3"/>
        <w:rPr/>
      </w:pPr>
      <w:r>
        <w:t>FLAC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t>When a date range is detected, treat the first date in the range as the canonical show date and normalize it using the existing date rules.</w:t>
      </w:r>
    </w:p>
    <w:p>
      <w:pPr>
        <w:pStyle w:val="Normal"/>
        <w:rPr/>
      </w:pPr>
      <w:r>
        <w:t>Preserve the full original range string in PARENTHETICALS.</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setlist.fm upgrade, Rename Compliantly, Tag Copy, Convert shn, As-Is Artist Name, Tag Copy/Delete Original, Dry run, Add Shows (incremental), Research, Reverse Copy/Delete + Rename, Quit, Inventory (full), Pause, Resume, and Tag are the current main-window controls. Silent is not a visible control.</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Prefer returned results whose normalized artist exactly matches the requested artist. If no exact match exists, use the returned result list as-is.</w:t>
      </w:r>
    </w:p>
    <w:p>
      <w:pPr>
        <w:pStyle w:val="Heading2"/>
        <w:rPr/>
      </w:pPr>
      <w:r>
        <w:t>Show-name construction</w:t>
      </w:r>
    </w:p>
    <w:p>
      <w:pPr>
        <w:pStyle w:val="ListBullet"/>
        <w:numPr>
          <w:ilvl w:val="0"/>
          <w:numId w:val="1"/>
        </w:numPr>
        <w:rPr/>
      </w:pPr>
      <w:r>
        <w:t>For United States results, use stateCode when available and create Artist Date Venue City StateCode.</w:t>
      </w:r>
    </w:p>
    <w:p>
      <w:pPr>
        <w:pStyle w:val="ListBullet"/>
        <w:numPr>
          <w:ilvl w:val="0"/>
          <w:numId w:val="1"/>
        </w:numPr>
        <w:rPr/>
      </w:pPr>
      <w:r>
        <w:t>For non-United States results, create Artist Date Venue City Country.</w:t>
      </w:r>
    </w:p>
    <w:p>
      <w:pPr>
        <w:pStyle w:val="Heading2"/>
        <w:rPr/>
      </w:pPr>
      <w:r>
        <w:t>Request throttling</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Builds 386-391 Metadata, GUI, Nested-Show, and Corruption Requirements</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and conservative state/country-anchored venue/location evidence before storing ALBUM_NAME.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FLAC ALBUMARTIST Precedence</w:t>
      </w:r>
    </w:p>
    <w:p>
      <w:r>
        <w:t>FLAC ALBUMARTIST is considered before FLAC ARTIST within the tag-evidence tier. Both remain low-priority artist evidence and must not displace stronger path/setlist evidence under the current artist precedence rules.</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p>
    <w:p>
      <w:pPr>
        <w:pStyle w:val="Heading2"/>
      </w:pPr>
      <w:r>
        <w:t>20.6 Acceptable Corruption Percentage</w:t>
      </w:r>
    </w:p>
    <w:p>
      <w:r>
        <w:t>Add a main-window text box labeled acceptable corruption % and a CLI option --acceptable-corruption-percent. Accept integers 0 through 100 inclusive only; default 100.</w:t>
      </w:r>
    </w:p>
    <w:p>
      <w:r>
        <w:t>Before rename, Tag Copy, Copy/Delete Original, Tag in Place, or other show-folder mutation, inspect the logical show audio files for readable audio metadata. Let total be the number of inventoried audio files and corrupt be files that cannot be opened/recognized by the audio parser. Remove only when corrupt * 100 &gt; acceptable_percent * total; equality is acceptable.</w:t>
      </w:r>
    </w:p>
    <w:p>
      <w:r>
        <w:t>When the threshold is exceeded, move MAIN_DIR_PATH to the operating system Trash/Recycle Bin. Never permanently delete as a fallback. Only after the Trash/Recycle Bin move succeeds may the show/metadata/setlist/bootlist entry be omitted from the inventory. Log REMOVED_CORRUPTION with path, counts, percentage, threshold, and action.</w:t>
      </w:r>
    </w:p>
    <w:p>
      <w:r>
        <w:t>If the Trash/Recycle Bin operation fails, log CORRUPTION_REMOVAL_FAILED and keep the folder and inventory record intact.</w:t>
      </w:r>
    </w:p>
    <w:p>
      <w:r>
        <w:t>Full Inventory Dry Run must not move anything; it reports WOULD_REMOVE_CORRUPTION with corrupt/total counts and threshold information.</w:t>
      </w:r>
    </w:p>
    <w:p>
      <w:pPr>
        <w:pStyle w:val="Heading1"/>
      </w:pPr>
      <w:r>
        <w:t>21. Build 392 Terminal Band Artist DB Fallback</w:t>
      </w:r>
    </w:p>
    <w:p>
      <w:r>
        <w:t>Build 392 adds a narrow secondary Artist DB lookup for unresolved potential artist names ending in the final word Band. TLO first searches the complete candidate unchanged. Only a complete no-match triggers a retry without the terminal Band word. A unique retry match supplies the Artist DB master name; a collision or no-match does not alter the unresolved result. This fallback does not raise the evidence source's precedence and does not change a valid full database artist whose actual name ends in Band.</w:t>
      </w:r>
    </w:p>
    <w:p>
      <w:pPr>
        <w:pStyle w:val="Heading1"/>
        <w:keepNext/>
      </w:pPr>
      <w:r>
        <w:t>22. Build 393 Acceptable Corruption Default</w:t>
      </w:r>
    </w:p>
    <w:p>
      <w:r>
        <w:t>Build 393 changes the default value of acceptable corruption % and --acceptable-corruption-percent from 0 to 100. The permitted range remains integer 0 through 100 inclusive, and an explicitly entered value of 0 must remain 0. All threshold comparison, Trash/Recycle Bin, Dry Run, and removal-log behavior defined in 20.6 remains unchanged.</w:t>
      </w:r>
    </w:p>
    <w:p>
      <w:pPr>
        <w:pStyle w:val="Heading1"/>
      </w:pPr>
      <w:r>
        <w:t>23. Build 394 Linux CI Corruption-Fixture Hardening</w:t>
      </w:r>
    </w:p>
    <w:p>
      <w:pPr/>
      <w:r>
        <w:t>Build 394 hardens five legacy inventory regression tests that intentionally create invalid FLAC placeholder bytes while testing unrelated behavior. The tests for unidentified-show mutation protection, compliant copy/delete transfer, copy/delete destination records, rename-only inventory, and tag-in-place Album construction now explicitly set acceptable corruption % to 100. This prevents a generic Linux runner with a working gio trash backend from removing those synthetic folders when the tests are not intended to exercise corruption removal. Runtime application behavior is unchanged from Build 393; acceptable corruption % still defaults to 100 and explicit values from 0 through 100 remain valid.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380: add narrow compliant String1 - String2 Date boundary precedence before generic dash fallback.</dc:description>
  <cp:keywords>TLO, Inventory, Requirements, v1.4, Build 380, compliant, String1 - String2 Date</cp:keywords>
  <dc:language>en-US</dc:language>
  <cp:lastModifiedBy/>
  <dcterms:modified xsi:type="dcterms:W3CDTF">2026-08-03T22:32:32Z</dcterms:modified>
  <cp:revision>1</cp:revision>
  <dc:subject>TLO v1.4 Build 381 current inventory requirements</dc:subject>
  <dc:title>TLO Inventory Requirements Working v380</dc:title>
</cp:coreProperties>
</file>