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Consolidated Current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pStyle w:val="Normal"/>
        <w:rPr/>
      </w:pPr>
      <w:r>
        <w:t>This document defines the current TLO inventory requirements for search paths, accessibility, startup validation, logging, cleanup, CLI behavior, GUI behavior, metadata extraction, aggregation, and appendices. Current document version: v334 (v1.2 Build 334).</w:t>
      </w:r>
    </w:p>
    <w:p>
      <w:pPr>
        <w:pStyle w:val="Normal"/>
        <w:rPr/>
      </w:pPr>
      <w:r>
        <w:rPr/>
        <w:t>Document organization: Sections 1-15 and Appendices A-I are the authoritative current requirements. Settled build-by-build notes have been consolidated into the numbered sections and appendices; superseded notes remain in old-change-logs.zip and are not repeated here.</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a global Tag Copy/Delete Original -- Destination Path override is filled.</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v1.2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 original inventory folders. This includes toBeInventoried.txt --$copy and --$copy-delete directives, command-line --$copy and --$copy-delete directives for a single --search-path, Tag Copy destinations, and a filled Tag Copy/Delete Original -- Destination Path.</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rPr/>
        <w:t>A filled Tag Copy/Delete Original -- Destination Path is a global override. When it is present, it overrides all per-path --$copy and --$copy-delete destinations. If no Search Path override is filled, the preflight must compare that one destination against the sum of all accessible roots loaded from toBeInventoried.txt.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produce platform-specific end-user release assets in addition to the source bundle and separately delivered current requirements DOCX.</w:t>
      </w:r>
    </w:p>
    <w:p>
      <w:pPr>
        <w:pStyle w:val="ListBullet"/>
        <w:numPr>
          <w:ilvl w:val="0"/>
          <w:numId w:val="1"/>
        </w:numPr>
        <w:rPr/>
      </w:pPr>
      <w:r>
        <w:rP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rPr/>
        <w:t>The release output must include six ZIP assets: complete and update packages for Windows, macOS, and generic Linux. Asset names follow TLO_V&lt;VERSION&gt;Build&lt;BUILD&gt;_complete_Windows.zip, TLO_V&lt;VERSION&gt;Build&lt;BUILD&gt;_complete_Linux.zip, TLO_V&lt;VERSION&gt;Build&lt;BUILD&gt;_complete_macOS.zip, TLO_V&lt;VERSION&gt;Build&lt;BUILD&gt;_update_Windows.zip, TLO_V&lt;VERSION&gt;Build&lt;BUILD&gt;_update_Linux.zip, and TLO_V&lt;VERSION&gt;Build&lt;BUILD&gt;_update_macOS.zip.</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rPr/>
        <w:t>Complete platform ZIPs may include required shared support folders, documentation, starter files, manifests, checksums, scan receipts, and TLO_DBs master/support files required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rP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rPr/>
        <w:t>A parent directory with multiple child directories is related only when the child directories are all wrapper/common release parts, such as CD1/CD2/CD3, Set 1/Set 2, Disk3, or wrapper-suffixed siblings that share the same stripped release base such as Big Release CD 1 and Big Release CD 2.</w:t>
      </w:r>
    </w:p>
    <w:p>
      <w:pPr>
        <w:pStyle w:val="ListBullet"/>
        <w:numPr>
          <w:ilvl w:val="0"/>
          <w:numId w:val="1"/>
        </w:numPr>
        <w:rPr/>
      </w:pPr>
      <w:r>
        <w:rPr/>
        <w:t>In non-compliant mode, if a music directory visible name is, or ends in, a wrapper-like release-part string such as CD 1, CD1, Disc 1, Disk3, Part 2, Set 1, or similar, check sibling music folders under the common parent for related release parts.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rPr/>
        <w:t>Volume-style release-part suffixes such as (Volume 1), (Vol 2), (Vol. 2), (v.1), and v2 are non-compliant release-part aggregation markers only for collection-style sibling folders under a common parent. The volume siblings aggregate under that parent only when their stripped base names differ, such as separate collection sections or release names.</w:t>
      </w:r>
    </w:p>
    <w:p>
      <w:pPr>
        <w:pStyle w:val="ListBullet"/>
        <w:numPr>
          <w:ilvl w:val="0"/>
          <w:numId w:val="1"/>
        </w:numPr>
        <w:rPr/>
      </w:pPr>
      <w:r>
        <w:rPr/>
        <w:t>Aggregated release-part groups must collect representative media-file paths and representative media extensions from all related part folders and must create only one metadata record and one bootlist row for the logical show.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rPr/>
        <w:t>Search each path component for String1 Date String2 after stripping parenthetical items from the end and trailing whitespace.</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rPr/>
        <w:t>Save all parentheticals as a single string in the metadata field PARENTHETICALS, separated by a single space and preserved in their original order.</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rP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and use that parent as the logical container.</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rPr/>
        <w:t>Compliant mode applies when --compliant is set.</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Compliant Artist Mode controls artist handling. Master mode checks String1 against the Artist DB and uses the DB master name when matched. As-Is mode uses String1 directly as the artist and performs no Artist DB lookup.</w:t>
      </w:r>
    </w:p>
    <w:p>
      <w:pPr>
        <w:pStyle w:val="ListBullet"/>
        <w:numPr>
          <w:ilvl w:val="0"/>
          <w:numId w:val="1"/>
        </w:numPr>
        <w:rPr/>
      </w:pPr>
      <w:r>
        <w:rPr/>
        <w:t>If Master mode does not find a single DB master, use String1 as the artist and record the miss or collision as an observation rather than an unresolved reason.</w:t>
      </w:r>
    </w:p>
    <w:p>
      <w:pPr>
        <w:pStyle w:val="ListBullet"/>
        <w:numPr>
          <w:ilvl w:val="0"/>
          <w:numId w:val="1"/>
        </w:numPr>
        <w:rPr/>
      </w:pPr>
      <w:r>
        <w:rPr/>
        <w:t>The CLI prompts for Master or As-Is in interactive compliant runs unless --compliant-artist-mode master|as-is is supplied. The GUI prompts when starting a compliant full inventory or compliant Add Shows run unless launched with --compliant-artist-mode.</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same Compliant Artist Mode selected for the run. In Master mode, normalize String1 for Artist DB lookup and use the DB master name when matched. In As-Is mode, use String1 directly with no lookup.</w:t>
      </w:r>
    </w:p>
    <w:p>
      <w:pPr>
        <w:pStyle w:val="ListBullet"/>
        <w:numPr>
          <w:ilvl w:val="0"/>
          <w:numId w:val="1"/>
        </w:numPr>
        <w:rPr/>
      </w:pPr>
      <w:r>
        <w:rPr/>
        <w:t>For String1 - String2, no Date is assigned and String2 remains the album/show tail. Artist handling still follows the selected Master or As-Is compliant artist mode.</w:t>
      </w:r>
    </w:p>
    <w:p>
      <w:pPr>
        <w:pStyle w:val="ListBullet"/>
        <w:numPr>
          <w:ilvl w:val="0"/>
          <w:numId w:val="1"/>
        </w:numPr>
        <w:rPr/>
      </w:pPr>
      <w:r>
        <w:rPr/>
        <w:t>If Master mode does not find a single DB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same Compliant Artist Mode selected for the run. Master mode checks String1 against the Artist DB and uses the master name when matched; As-Is mode uses String1 directly with no lookup. In Master mode,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In compliant mode, the user chooses Master or As-Is artist handling at the start of a compliant inventory run. The CLI also accepts --compliant-artist-mode master|as-is.</w:t>
      </w:r>
    </w:p>
    <w:p>
      <w:pPr>
        <w:pStyle w:val="ListBullet"/>
        <w:numPr>
          <w:ilvl w:val="0"/>
          <w:numId w:val="1"/>
        </w:numPr>
        <w:rPr/>
      </w:pPr>
      <w:r>
        <w:rPr/>
        <w:t>Master mode checks String1 against the Artist DB. If exactly one master is found, use the master name. If no master or multiple masters are found, use String1 as Artist and record an observation.</w:t>
      </w:r>
    </w:p>
    <w:p>
      <w:pPr>
        <w:pStyle w:val="ListBullet"/>
        <w:numPr>
          <w:ilvl w:val="0"/>
          <w:numId w:val="1"/>
        </w:numPr>
        <w:rPr/>
      </w:pPr>
      <w:r>
        <w:rPr/>
        <w:t>As-Is mode uses String1 as Artist directly for String1 Date String2, String1 - String2, and String1 Date, without Artist DB lookup.</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Detailed request, result-selection, show-name construction, throttling, and cap rules are canonical in Appendix I.</w:t>
      </w:r>
    </w:p>
    <w:p>
      <w:pPr>
        <w:pStyle w:val="ListBullet"/>
        <w:numPr>
          <w:ilvl w:val="0"/>
          <w:numId w:val="1"/>
        </w:numPr>
        <w:rPr/>
      </w:pPr>
      <w:r>
        <w:rPr/>
        <w:t>setlist.fm rate limiting and the per-run call cap are defined in Appendix I and apply across local inventory worker processes.</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rPr/>
        <w:t>If a show name is established, append a space and PARENTHETICALS to the end of the show name, preserving multiple parentheticals in their original order.</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numPr>
          <w:ilvl w:val="0"/>
          <w:numId w:val="1"/>
        </w:numPr>
        <w:rPr/>
      </w:pPr>
      <w:r>
        <w:rP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Tag, Tag in Place, Tag Copy, Tag Copy/Delete Original, Rename Compliantly, Convert shn, Artist in Album, etreeDB, setlist.fm, and Compliant Artist Mode when applicable. Example: "Switches -- Action: Full Inventory; Compliant: yes;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rPr/>
        <w:t>--rename-compliantly is valid independently of tagging. By itself during full inventory it renames identified original folders in place without writing audio tags; with a tag/copy mode it applies the compliant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rPr/>
        <w:t>--compliant-artist-mode master|as-is controls compliant String1 artist handling. master checks String1 against the artist database; as-is uses String1 directly.</w:t>
      </w:r>
    </w:p>
    <w:p>
      <w:pPr>
        <w:pStyle w:val="Normal"/>
        <w:rPr/>
      </w:pPr>
      <w:r>
        <w:rPr/>
        <w:t>--debug [BOOL] (optional command-line-only GUI flag; enables debug output without changing the concise startup banner)</w:t>
        <w:br/>
        <w:t>--silent</w:t>
        <w:br/>
        <w:t>--TLOHome DIR</w:t>
        <w:br/>
        <w:t>--search-path STRING</w:t>
        <w:br/>
        <w:t>--compliant</w:t>
        <w:br/>
        <w:t>--compliant-artist-mode master|as-is</w:t>
        <w:br/>
        <w:t>--tag-during-inventory</w:t>
        <w:br/>
        <w:t>--tag-copy-during-inventory</w:t>
        <w:br/>
        <w:t>--tag-copy-destination DIR</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their shared options from the registry rather than maintaining independent hand-written copies. TLOHome, myTLO, --debug [BOOL], -$slam, and tagPath remain explicit carve-outs with their existing flags and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rPr/>
        <w:t>Lookup dependency requirement: setlist.fm requiring eTreeDB must be enforced by one shared function. Startup, CLI, and GUI surfaces must all use that same rule; Section 9 is the canonical behavior description.</w:t>
      </w:r>
    </w:p>
    <w:p>
      <w:pPr>
        <w:pStyle w:val="Normal"/>
        <w:rPr/>
      </w:pPr>
      <w:r>
        <w:rPr/>
        <w:t>Max Workers supplied-detection requirement: use argparse.SUPPRESS or an equivalent parser sentinel so GUI default display rules can follow Section 2.10 without duplicating parser-specific logic.</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rPr/>
        <w:t>Add and maintain a standalone command-line tagger named tlo-tag.py. It must behave the same as running the GUI Tag workflow after the user starts tagging from the Tagger window.</w:t>
      </w:r>
    </w:p>
    <w:p>
      <w:pPr>
        <w:pStyle w:val="Normal"/>
        <w:rPr/>
      </w:pPr>
      <w:r>
        <w:rPr/>
        <w:t>tlo-tag.py must accept --TLOHome STRING, --myTLO STRING, --compliant, --tag-path STRING, and an optional positional tagPath string. If both --tag-path and positional tagPath are supplied with different non-empty values, report a readable error and exit.</w:t>
      </w:r>
    </w:p>
    <w:p>
      <w:pPr>
        <w:pStyle w:val="Normal"/>
        <w:rPr/>
      </w:pPr>
      <w:r>
        <w:rPr/>
        <w:t>TLOHome resolution for tlo-tag.py must use the same precedence as the rest of TLO: --myTLO, then --TLOHome, then the TLOHome environment variable.</w:t>
      </w:r>
    </w:p>
    <w:p>
      <w:pPr>
        <w:pStyle w:val="Normal"/>
        <w:rPr/>
      </w:pPr>
      <w:r>
        <w:rPr/>
        <w:t>When tagPath is blank, the tagger must use TLOHome/readyForXfer, or myTLO/readyForXfer when --myTLO wins TLOHome resolution.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Tag During Inventory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Failed conversions must be logged as tag errors and the failed SHN/SHNF file must be left in place. When tagging is enabled, conversion must occur before choosing final track titles and before writing tags. When tagging is disabled, conversion must not write tags.</w:t>
      </w:r>
    </w:p>
    <w:p>
      <w:pPr>
        <w:pStyle w:val="Normal"/>
        <w:rPr/>
      </w:pPr>
      <w:r>
        <w:r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rPr/>
        <w:t>When the GUI Tag Copy/Delete Original -- Destination Path field is filled for a full inventory run, it overrides per-path --$copy and --$copy-delete destinations from toBeInventoried.txt. If the Search Path field is empty, the GUI must preflight the destination against the combined size of all accessible toBeInventoried.txt roots and show an alert if the destination lacks enough space.</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be laid out in a two-row, four-column grid. The first row, from left to right, is etreeDB, Compliant, Tag in Place, and Artist in Album Tag. The second row, from left to right, is setlist.fm, Rename Compliantly, Tag Copy, and Convert shn. Artist in Album Tag defaults to checked.</w:t>
      </w:r>
    </w:p>
    <w:p>
      <w:pPr>
        <w:pStyle w:val="ListBullet"/>
        <w:numPr>
          <w:ilvl w:val="0"/>
          <w:numId w:val="1"/>
        </w:numPr>
        <w:rPr/>
      </w:pPr>
      <w:r>
        <w:rP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v1.1 Build number, developer attribution, tool attribution, and contact text. FAQ opens TLOHome/TLO-FAQ.txt; TLO-FAQ.txt is included in the source bundle and end-user complete distributions.</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rPr/>
        <w:t>Include myTLO support with the same precedence as CLI. It may remain undocumented in help if desired, but the GUI version must support it.</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rPr/>
        <w:t>Include Tag, Add Shows (incremental), Quit, Inventory (full), Pause, and Resume buttons in the main button row. Tag must display at the far left. Add Shows (incremental) and Inventory (full) must each display as centered two-line labels.</w:t>
      </w:r>
    </w:p>
    <w:p>
      <w:pPr>
        <w:pStyle w:val="ListBullet"/>
        <w:numPr>
          <w:ilvl w:val="0"/>
          <w:numId w:val="1"/>
        </w:numPr>
        <w:rPr/>
      </w:pPr>
      <w:r>
        <w:rPr/>
        <w:t>Main button layout: Tag is at the far left, Add Shows / (incremental) is immediately to its right, Quit is centered, and Inventory / (full), Pause, and Resume are grouped on the right. All main-row buttons must have the same height.</w:t>
      </w:r>
    </w:p>
    <w:p>
      <w:pPr>
        <w:pStyle w:val="ListBullet"/>
        <w:numPr>
          <w:ilvl w:val="0"/>
          <w:numId w:val="1"/>
        </w:numPr>
        <w:rPr/>
      </w:pPr>
      <w:r>
        <w:rP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bootlist output, and must ask the user to continue or cancel before processing new shows as the first inventory output.</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w:t>
      </w:r>
    </w:p>
    <w:p>
      <w:pPr>
        <w:pStyle w:val="ListBullet"/>
      </w:pPr>
      <w:r>
        <w:t>Add Shows does not perform Tag Copy. If Tag Copy is selected in the main GUI, Add Shows ignores Tag Copy so it does not create a second destination outside the readyForXfer, dups, and staged workflow.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rPr/>
        <w:t>The main GUI must include vertically aligned checkboxes labeled Tag in Place, Tag Copy, and Rename Compliantly. Tag in Place and Tag Copy are mutually exclusive. Rename Compliantly is independent of tagging. In Full Inventory, when Rename Compliantly is checked and Tag in Place, Tag Copy, and Tag Copy/Delete Original -- Destination Path are all unavailable, TLO must rename each identified original music folder in place using the resolved Show Name and must not write or alter audio tags. When combined with Tag in Place, the original folder is renamed before tagging; when combined with Tag Copy, the copy destination uses the compliant name; and when combined with Tag Copy/Delete Original, the transferred destination uses the compliant name. These main-window values apply to Full Inventory and GUI Tag runs. Add Shows inherits only Compliant and Rename Compliantly and ignores Tag in Place and Tag Copy. The Add Shows window must use the bold in-window heading Traders Little Helper™ Inventory Update App.</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t>Place the visible checkboxes in the required two-row, four-column grid with consistent horizontal and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v1.2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rPr/>
        <w:t>Rename Compliantly must not require Tag in Place, Tag Copy, or Tag Copy/Delete Original. For Full Inventory, Rename Compliantly by itself means rename the identified original folder in place without tagging. The GUI and CLI must accept this combination without an alert or validation error. For a GUI/standalone Tag run, the Tag action still writes tags; when no copy mode is selected, the Tag workflow operates in place and may rename the folder compliantly before tagging.</w:t>
      </w:r>
    </w:p>
    <w:p>
      <w:pPr>
        <w:pStyle w:val="Normal"/>
        <w:rPr/>
      </w:pPr>
      <w:r>
        <w:rPr/>
        <w:t>The Tagger window must include a console subwindow that receives the same concise folder/file messages written by the standalone CLI tagger. The Tagger window must not include its own Tag in Place, Tag Copy, or Rename Compliantly checkboxes; those settings are controlled only from the main GUI window.</w:t>
      </w:r>
    </w:p>
    <w:p>
      <w:pPr>
        <w:pStyle w:val="Normal"/>
        <w:rPr/>
      </w:pPr>
      <w:r>
        <w:rPr/>
        <w:t>The Tagger window must include a text input labeled Tagging Path: pre-populated with TLOHome/readyForXfer, myTLO/readyForXfer when myTLO wins TLOHome resolution, or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rPr/>
        <w:t>Clicking the main Tag button must open a new window whose title bar reads TLO Tagger GUI v1.2 Build XX. Inside the window, the only application heading must be the bold text Traders Little Helper™ Tagger App. Do not add a second in-window version heading. A summary line below the heading must show the inherited Tag mode, Rename Compliantly state, Convert shn state, Compliant state, and etreeDB state.</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rPr/>
      </w:pPr>
      <w:r>
        <w:rPr/>
        <w:t>14.1 Tagger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Path-alias limitations are specified in Section 2.6 and should be referenced from the user guide rather than restated here.</w:t>
      </w:r>
    </w:p>
    <w:p>
      <w:pPr>
        <w:pStyle w:val="ListBullet"/>
        <w:numPr>
          <w:ilvl w:val="0"/>
          <w:numId w:val="1"/>
        </w:numPr>
        <w:rPr/>
      </w:pPr>
      <w:r>
        <w:rPr/>
        <w:t>The TLO Search app is a separate delivery and is outside the source/implementation scope of this inventory bundle. User documentation may describe its workflow only when it is clearly labeled as separately installed.</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Duplicate and nested-root handling, including the user-guide warning for symlinks, junctions, mount aliases, and case-equivalent paths, is canonical in Section 2.6.</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GUI Quit behavior is canonical in Section 15. Appendix D records only the ambiguity disposition.</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rP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rPr/>
        <w:t>--debug [BOOL], --silent, --TLOHome DIR, --myTLO STRING (undocumented; see Section 2.3), --search-path STRING, --compliant, --compliant-artist-mode master|as-is,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tagPath is not an inventory CLI argument; --tag-path is tagger-scoped for the tlo-ggi.py Tag launcher and tlo-tag.py only. The standalone tlo-tag.py command also accepts --etree-lookup to enable eTreeDB song-title fallback during tagging.</w:t>
      </w:r>
    </w:p>
    <w:p>
      <w:pPr>
        <w:pStyle w:val="Heading3"/>
        <w:rPr/>
      </w:pPr>
      <w:r>
        <w:t>GUI fields and visible controls</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pStyle w:val="Normal"/>
        <w:rPr/>
      </w:pPr>
      <w:r>
        <w:t>Search Path, Slam, Performance Mode, Max Workers, etreeDB, Compliant, Tag in Place, Artist in Album Tag, setlist.fm, Rename Compliantly, Tag Copy, Convert shn,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t>Integer N &gt;= 0. See Section 2.10 for zero/default semantics, extreme-mode display behavior, and volume-group worker caps.</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 The interprocess rate-limit lock must not be held while a worker sleeps before its own request.</w:t>
      </w:r>
    </w:p>
    <w:p>
      <w:pPr>
        <w:pStyle w:val="ListBullet"/>
        <w:numPr>
          <w:ilvl w:val="0"/>
          <w:numId w:val="1"/>
        </w:numPr>
        <w:rPr/>
      </w:pPr>
      <w:r>
        <w:rPr/>
        <w:t>setlist.fm requests must also be capped at 1,400 calls per inventory run. The cap applies across local inventory worker processes for the same run.</w:t>
      </w:r>
    </w:p>
    <w:p>
      <w:r>
        <w:t>Build 332/333 update: meta*.log SHOW_NAME entries now include a Switches -- line that records the active per-entry inventory settings for Full Inventory and Add Shows metadata records.</w:t>
      </w:r>
    </w:p>
    <w:p>
      <w:pPr>
        <w:pStyle w:val="Heading1"/>
      </w:pPr>
      <w:r>
        <w:t>Build 333 Artist in Album update</w:t>
      </w:r>
    </w:p>
    <w:p>
      <w:r>
        <w:t>Build 333 adds the checked-by-default Artist in Album GUI checkbox and the command-line --no-artist-in-album opt-out. When the option is checked, Album tags begin with the resolved Artist followed by the existing album components. When unchecked, Album tags use the prior date/venue/location/parenthetical format without the artist prefix. The public application version is v1.2 Build 333.</w:t>
      </w:r>
    </w:p>
    <w:p>
      <w:pPr>
        <w:pStyle w:val="Heading1"/>
      </w:pPr>
      <w:r>
        <w:t>Build 334 main GUI checkbox layout update</w:t>
      </w:r>
    </w:p>
    <w:p>
      <w:r>
        <w:t>Build 334 rearranges the visible main-window checkboxes into two rows and four columns. Row 1 is etreeDB, Compliant, Tag in Place, and Artist in Album Tag. Row 2 is setlist.fm, Rename Compliantly, Tag Copy, and Convert shn. The Artist in Album Tag option remains checked by default; only its visible label and grid position changed. The public application version is v1.2 Build 334.</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
  <cp:keywords>TLO, Inventory, Requirements, v1.2, Build 334, GUI, checkboxes</cp:keywords>
  <dc:language>en-US</dc:language>
  <cp:lastModifiedBy/>
  <dcterms:modified xsi:type="dcterms:W3CDTF">2026-06-22T22:02:32Z</dcterms:modified>
  <cp:revision>1</cp:revision>
  <dc:subject>TLO Inventory requirements, v1.2 Build 334</dc:subject>
  <dc:title>TLO Inventory Requirements Working v333</dc:title>
</cp:coreProperties>
</file>