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Merged Complete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rP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CLI, GUI, Logging, and Boolean Enumerations.</w:t>
      </w:r>
    </w:p>
    <w:p>
      <w:pPr>
        <w:pStyle w:val="Normal"/>
        <w:rPr/>
      </w:pPr>
      <w:r>
        <w:rPr/>
      </w:r>
    </w:p>
    <w:p>
      <w:pPr>
        <w:pStyle w:val="Normal"/>
        <w:rPr/>
      </w:pPr>
      <w:r>
        <w:t>This document defines the current TLO inventory requirements for search paths, accessibility, startup validation, logging, cleanup, CLI behavior, GUI behavior, metadata extraction, aggregation, and appendices. Current document version: v321 (v1.0 Build 321).</w:t>
      </w:r>
    </w:p>
    <w:p>
      <w:pPr>
        <w:pStyle w:val="Normal"/>
        <w:rPr/>
      </w:pPr>
      <w:r>
        <w:rPr/>
        <w:t>Document organization: Sections 1-15 and Appendices A-I are the authoritative current requirements. Superseded build-by-build notes are maintained in old-change-logs.zip and are not repeated in this specification.</w:t>
      </w:r>
    </w:p>
    <w:p>
      <w:pPr>
        <w:pStyle w:val="Heading1"/>
        <w:rPr/>
      </w:pPr>
      <w:r>
        <w:rPr/>
        <w:t>1. General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rPr/>
        <w:t>When more than one accessible search path is queued, scheduling is based on the resolved visible volume label, not on whether the user typed a bracketed prefix. Every path whose resolved visible volume label is blank must be searched serially,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rP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and inventories the copied/moved destination tree, unless a global Tag Copy/Delete Original -- Destination Path override is filled.</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rPr/>
        <w:t>When multiple accessible search paths exist, use the performance-controlled worker count for volume work groups. All blank-volume paths form one serial work group, sorted by drive letter or WSL /mnt/&lt;drive&gt; letter. Each distinct nonblank visible volume label forms another work group, and roots sharing that label run serially inside the same worker. When more than one worker is available, the blank-volume serial group and the named-volume groups may run concurrently. Parallel workers are used only when the effective worker count and total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v1.0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rPr/>
        <w:t>Fast mode uses maximum-throughput behavior: available workers up to the platform CPU count and, at runtime, up to the number of accessible search paths;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rPr/>
        <w:t>The effective runtime worker count is capped at the number of accessible search paths. When a positive --max-workers value is supplied, it additionally caps the selected performance-mode/platform default. When --max-workers is 0 or omitted on the CLI, the selected performance-mode/platform default is used and still capped by the number of accessible search paths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rPr/>
        <w:t>Before Phase 1 begins, TLO must preflight any destination that will receive copied or copy/delete original inventory folders. This includes toBeInventoried.txt --$copy and --$copy-delete directives, command-line --$copy and --$copy-delete directives for a single --search-path, Tag Copy destinations, and a filled Tag Copy/Delete Original -- Destination Path.</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rPr/>
        <w:t>A filled Tag Copy/Delete Original -- Destination Path is a global override. When it is present, it overrides all per-path --$copy and --$copy-delete destinations. If no Search Path override is filled, the preflight must compare that one destination against the sum of all accessible roots loaded from toBeInventoried.txt.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rPr/>
        <w:t>For Copy/Delete Original, if the source and destination are on the same filesystem, the operation is a move and the capacity check counts zero additional bytes for that source. Cross-filesystem Copy/Delete Original and ordinary Tag Copy require the full source size. A destination must not be the source folder or a child of it.</w:t>
      </w:r>
    </w:p>
    <w:p>
      <w:pPr>
        <w:pStyle w:val="Heading2"/>
        <w:rPr/>
      </w:pPr>
      <w:r>
        <w:rPr/>
        <w:t>2.12 Distribution Build and Packaging</w:t>
      </w:r>
    </w:p>
    <w:p>
      <w:pPr>
        <w:pStyle w:val="ListBullet"/>
        <w:numPr>
          <w:ilvl w:val="0"/>
          <w:numId w:val="1"/>
        </w:numPr>
        <w:rPr/>
      </w:pPr>
      <w:r>
        <w:rPr/>
        <w:t>Every numbered source update must include a separate end-user distribution ZIP in addition to the source bundle and separately delivered current requirements DOCX.</w:t>
      </w:r>
    </w:p>
    <w:p>
      <w:pPr>
        <w:pStyle w:val="ListBullet"/>
        <w:numPr>
          <w:ilvl w:val="0"/>
          <w:numId w:val="1"/>
        </w:numPr>
        <w:rPr/>
      </w:pPr>
      <w:r>
        <w:rPr/>
        <w:t>The distribution version string and filename must use V1.0BuildXXX, where XXX is supplied to the build process as an input argument. For source bundle v315, the final end-user distribution filename uses TLO_V1.0Build315.zip.</w:t>
      </w:r>
    </w:p>
    <w:p>
      <w:pPr>
        <w:pStyle w:val="ListBullet"/>
        <w:numPr>
          <w:ilvl w:val="0"/>
          <w:numId w:val="1"/>
        </w:numPr>
        <w:rPr/>
      </w:pPr>
      <w:r>
        <w:rPr/>
        <w:t>The distribution ZIP must contain native, self-contained application builds for Windows, macOS, and generic Linux under apps/Windows, apps/macOS, and apps/Linux respectively. There is no separate apps/WSL directory; WSL uses the generic Linux applications from apps/Linux.</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 must be completed before final ZIP assembly. The ZIP assembler must reject missing platform folders or missing required applications.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the staged package. The distribution ZIP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The ZIP filename is versioned, but the ZIP contents must not be wrapped in a versioned top-level folder. Users extract the contents directly into the chosen TLOHome.</w:t>
      </w:r>
    </w:p>
    <w:p>
      <w:pPr>
        <w:pStyle w:val="ListBullet"/>
        <w:numPr>
          <w:ilvl w:val="0"/>
          <w:numId w:val="1"/>
        </w:numPr>
        <w:rPr/>
      </w:pPr>
      <w:r>
        <w:rPr/>
        <w:t>The distribution must include TLOHome/TLO_DBs as an empty placeholder with an explanatory README only. artists.sqlite, venues.txt, and other database/support contents are populated separately and must not be copied into the distribution ZIP.</w:t>
      </w:r>
    </w:p>
    <w:p>
      <w:pPr>
        <w:pStyle w:val="ListBullet"/>
        <w:numPr>
          <w:ilvl w:val="0"/>
          <w:numId w:val="1"/>
        </w:numPr>
        <w:rPr/>
      </w:pPr>
      <w:r>
        <w:rPr/>
        <w:t>The end-user distribution ZIP must include the current RTF user manual, a starter toBeInventoried.txt, a manifest, checksums, and the clean scan receipts. The requirements document must not be included in the end-user distribution ZIP; it remains in the source bundle and is provided separately.</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rP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w:t>
      </w:r>
    </w:p>
    <w:p>
      <w:pPr>
        <w:pStyle w:val="ListBullet"/>
        <w:numPr>
          <w:ilvl w:val="0"/>
          <w:numId w:val="1"/>
        </w:numPr>
        <w:rPr/>
      </w:pPr>
      <w:r>
        <w:rPr/>
        <w:t>A parent directory with multiple child directories is related only when the child directories are all wrapper/common release parts, such as CD1/CD2/CD3, Set 1/Set 2, Disk3, or wrapper-suffixed siblings that share the same stripped release base such as Big Release CD 1 and Big Release CD 2.</w:t>
      </w:r>
    </w:p>
    <w:p>
      <w:pPr>
        <w:pStyle w:val="ListBullet"/>
        <w:numPr>
          <w:ilvl w:val="0"/>
          <w:numId w:val="1"/>
        </w:numPr>
        <w:rPr/>
      </w:pPr>
      <w:r>
        <w:rPr/>
        <w:t>In non-compliant mode, if a music directory visible name is, or ends in, a wrapper-like release-part string such as CD 1, CD1, Disc 1, Disk3, Part 2, Set 1, or similar, check sibling music folders under the common parent for related release parts.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rPr/>
        <w:t>Volume-style release-part suffixes such as (Volume 1), (Vol 2), (Vol. 2), (v.1), and v2 are non-compliant release-part aggregation markers only for collection-style sibling folders under a common parent. The volume siblings aggregate under that parent only when their stripped base names differ, such as separate collection sections or release names.</w:t>
      </w:r>
    </w:p>
    <w:p>
      <w:pPr>
        <w:pStyle w:val="ListBullet"/>
        <w:numPr>
          <w:ilvl w:val="0"/>
          <w:numId w:val="1"/>
        </w:numPr>
        <w:rPr/>
      </w:pPr>
      <w:r>
        <w:rPr/>
        <w:t>Aggregated release-part groups must collect representative media-file paths and representative media extensions from all related part folders and must create only one metadata record and one bootlist row for the logical show.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rPr/>
        <w:t>Search each path component for String1 Date String2 after stripping parenthetical items from the end and trailing whitespace.</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rPr/>
        <w:t>Save all parentheticals as a single string in the metadata field PARENTHETICALS, separated by a single space and preserved in their original order.</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rP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and use that parent as the logical container.</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rPr/>
        <w:t>Non-compliant mode must use venue/location precedence order: path-derived metadata first, eTreeDB second, selected setlist metadata third, and setlist.fm last only when eTreeDB does not return usable venue/location data. The selected setlist text must still be checked for explicit artist labels and for venue/location metadata after eTreeDB and before setlist.fm so it can fill blanks or record non-overwriting differences.</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rPr/>
        <w:t>Compliant mode applies when --compliant is set.</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Compliant Artist Mode controls artist handling. Master mode checks String1 against the Artist DB and uses the DB master name when matched. As-Is mode uses String1 directly as the artist and performs no Artist DB lookup.</w:t>
      </w:r>
    </w:p>
    <w:p>
      <w:pPr>
        <w:pStyle w:val="ListBullet"/>
        <w:numPr>
          <w:ilvl w:val="0"/>
          <w:numId w:val="1"/>
        </w:numPr>
        <w:rPr/>
      </w:pPr>
      <w:r>
        <w:rPr/>
        <w:t>If Master mode does not find a single DB master, use String1 as the artist and record the miss or collision as an observation rather than an unresolved reason.</w:t>
      </w:r>
    </w:p>
    <w:p>
      <w:pPr>
        <w:pStyle w:val="ListBullet"/>
        <w:numPr>
          <w:ilvl w:val="0"/>
          <w:numId w:val="1"/>
        </w:numPr>
        <w:rPr/>
      </w:pPr>
      <w:r>
        <w:rPr/>
        <w:t>The CLI prompts for Master or As-Is in interactive compliant runs unless --compliant-artist-mode master|as-is is supplied. The GUI prompts when starting a compliant full inventory or compliant Add Shows run unless launched with --compliant-artist-mode.</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same Compliant Artist Mode selected for the run. In Master mode, normalize String1 for Artist DB lookup and use the DB master name when matched. In As-Is mode, use String1 directly with no lookup.</w:t>
      </w:r>
    </w:p>
    <w:p>
      <w:pPr>
        <w:pStyle w:val="ListBullet"/>
        <w:numPr>
          <w:ilvl w:val="0"/>
          <w:numId w:val="1"/>
        </w:numPr>
        <w:rPr/>
      </w:pPr>
      <w:r>
        <w:rPr/>
        <w:t>For String1 - String2, no Date is assigned and String2 remains the album/show tail. Artist handling still follows the selected Master or As-Is compliant artist mode.</w:t>
      </w:r>
    </w:p>
    <w:p>
      <w:pPr>
        <w:pStyle w:val="ListBullet"/>
        <w:numPr>
          <w:ilvl w:val="0"/>
          <w:numId w:val="1"/>
        </w:numPr>
        <w:rPr/>
      </w:pPr>
      <w:r>
        <w:rPr/>
        <w:t>If Master mode does not find a single DB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same Compliant Artist Mode selected for the run. Master mode checks String1 against the Artist DB and uses the master name when matched; As-Is mode uses String1 directly with no lookup. In Master mode,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In compliant mode, the user chooses Master or As-Is artist handling at the start of a compliant inventory run. The CLI also accepts --compliant-artist-mode master|as-is.</w:t>
      </w:r>
    </w:p>
    <w:p>
      <w:pPr>
        <w:pStyle w:val="ListBullet"/>
        <w:numPr>
          <w:ilvl w:val="0"/>
          <w:numId w:val="1"/>
        </w:numPr>
        <w:rPr/>
      </w:pPr>
      <w:r>
        <w:rPr/>
        <w:t>Master mode checks String1 against the Artist DB. If exactly one master is found, use the master name. If no master or multiple masters are found, use String1 as Artist and record an observation.</w:t>
      </w:r>
    </w:p>
    <w:p>
      <w:pPr>
        <w:pStyle w:val="ListBullet"/>
        <w:numPr>
          <w:ilvl w:val="0"/>
          <w:numId w:val="1"/>
        </w:numPr>
        <w:rPr/>
      </w:pPr>
      <w:r>
        <w:rPr/>
        <w:t>As-Is mode uses String1 as Artist directly for String1 Date String2, String1 - String2, and String1 Date, without Artist DB lookup.</w:t>
      </w:r>
    </w:p>
    <w:p>
      <w:pPr>
        <w:pStyle w:val="Heading1"/>
        <w:rPr/>
      </w:pPr>
      <w:r>
        <w:rPr/>
        <w:t>9. Online Venue and Location Lookup</w:t>
      </w:r>
    </w:p>
    <w:p>
      <w:pPr>
        <w:pStyle w:val="ListBullet"/>
        <w:numPr>
          <w:ilvl w:val="0"/>
          <w:numId w:val="1"/>
        </w:numPr>
        <w:rPr/>
      </w:pPr>
      <w:r>
        <w:rPr/>
        <w:t>Online lookup applies in both non-compliant and compliant modes when the corresponding lookup option is enabled.</w:t>
      </w:r>
    </w:p>
    <w:p>
      <w:pPr>
        <w:pStyle w:val="ListBullet"/>
        <w:numPr>
          <w:ilvl w:val="0"/>
          <w:numId w:val="1"/>
        </w:numPr>
        <w:rPr/>
      </w:pPr>
      <w:r>
        <w:rPr/>
        <w:t>--etree-lookup defaults to false. When true, after Artist and yyyy-mm-dd Date are identified from path/date processing, query eTreeDB after path-derived metadata and before selected setlist metadata. eTreeDB may fill blank venue/location fields only and may not overwrite nonblank fields already identified.</w:t>
      </w:r>
    </w:p>
    <w:p>
      <w:pPr>
        <w:pStyle w:val="ListBullet"/>
        <w:numPr>
          <w:ilvl w:val="0"/>
          <w:numId w:val="1"/>
        </w:numPr>
        <w:rPr/>
      </w:pPr>
      <w:r>
        <w:rPr/>
        <w:t>Do not use the top-level performances(...) query for eTreeDB lookup, because that query can throw an eTreeDB internal server error.</w:t>
      </w:r>
    </w:p>
    <w:p>
      <w:pPr>
        <w:pStyle w:val="ListBullet"/>
        <w:numPr>
          <w:ilvl w:val="0"/>
          <w:numId w:val="1"/>
        </w:numPr>
        <w:rPr/>
      </w:pPr>
      <w:r>
        <w:rPr/>
        <w:t>The eTreeDB lookup resolves the exact artist using artistsRoot(name eq), then uses the nested Artist.performances relationship filtered by year, normalizes returned date strings locally, and matches the requested yyyy-mm-dd date. (see Appendix H)</w:t>
      </w:r>
    </w:p>
    <w:p>
      <w:pPr>
        <w:pStyle w:val="Normal"/>
        <w:rPr/>
      </w:pPr>
      <w:r>
        <w:rPr/>
        <w:t>For tagging title fallback only, the same eTreeDB exact artist/year/date lookup may also retrieve Performance.set1, Performance.set2, and Performance.set3 when the eTreeDB option is enabled and local track-title sources are unavailable. This title fallback is used only for tagging; it must not change inventory venue/location precedence or overwrite existing show metadata.</w:t>
      </w:r>
    </w:p>
    <w:p>
      <w:pPr>
        <w:pStyle w:val="ListBullet"/>
        <w:numPr>
          <w:ilvl w:val="0"/>
          <w:numId w:val="1"/>
        </w:numPr>
        <w:rPr/>
      </w:pPr>
      <w:r>
        <w:rPr/>
        <w:t>If a matching eTreeDB performance is found, use eTreeDB venue/location only to fill blank venue/location fields. Do not replace any nonblank field already identified from the path. If eTreeDB disagrees with existing path-derived metadata, retain the existing value and record an observation unless the values are equivalent or one is a token-boundary subset of the other. For eTreeDB non-U.S. results where the returned state/location value is a recognized country, store it as COUNTRY rather than REGION.</w:t>
      </w:r>
    </w:p>
    <w:p>
      <w:pPr>
        <w:pStyle w:val="ListBullet"/>
        <w:numPr>
          <w:ilvl w:val="0"/>
          <w:numId w:val="1"/>
        </w:numPr>
        <w:rPr/>
      </w:pPr>
      <w:r>
        <w:rPr/>
        <w:t>If the eTreeDB lookup fails, returns no matching performance, returns incomplete venue/location, or Date is not yyyy-mm-dd, record an observation and continue to selected setlist metadata. Existing metadata must be retained.</w:t>
      </w:r>
    </w:p>
    <w:p>
      <w:pPr>
        <w:pStyle w:val="ListBullet"/>
        <w:numPr>
          <w:ilvl w:val="0"/>
          <w:numId w:val="1"/>
        </w:numPr>
        <w:rPr/>
      </w:pPr>
      <w:r>
        <w:rPr/>
        <w:t>--setlistfm-lookup defaults to false. When true, it may be used in both non-compliant and compliant modes only when eTree Lookup is also enabled.</w:t>
      </w:r>
    </w:p>
    <w:p>
      <w:pPr>
        <w:pStyle w:val="ListBullet"/>
        <w:numPr>
          <w:ilvl w:val="0"/>
          <w:numId w:val="1"/>
        </w:numPr>
        <w:rPr/>
      </w:pPr>
      <w:r>
        <w:rPr/>
        <w:t>When both eTree Lookup and setlist.fm are enabled, the system must try eTreeDB after path metadata is available, then check selected setlist metadata, then use setlist.fm last only if eTreeDB did not return usable venue/location data for the current artist/date. Both online sources fill blanks only and must not overwrite already identified metadata.</w:t>
      </w:r>
    </w:p>
    <w:p>
      <w:pPr>
        <w:pStyle w:val="ListBullet"/>
        <w:numPr>
          <w:ilvl w:val="0"/>
          <w:numId w:val="1"/>
        </w:numPr>
        <w:rPr/>
      </w:pPr>
      <w:r>
        <w:rPr/>
        <w:t>A usable online lookup result must match the requested normalized yyyy-mm-dd date and provide enough location metadata to construct a show location: venue and city are required; for United States results a state/stateCode is required, and for non-United States results a country is required. Results missing those minimum fields are treated as not usable and must be logged as observations rather than replacing existing metadata.</w:t>
      </w:r>
    </w:p>
    <w:p>
      <w:pPr>
        <w:pStyle w:val="ListBullet"/>
        <w:numPr>
          <w:ilvl w:val="0"/>
          <w:numId w:val="1"/>
        </w:numPr>
        <w:rPr/>
      </w:pPr>
      <w:r>
        <w:rPr/>
        <w:t>At startup, if either eTree Lookup or setlist.fm is enabled, validate the lookup flags and report the active lookup chain. For command-line startup, --setlistfm-lookup without --etree-lookup is an error and inventory must not start.</w:t>
      </w:r>
    </w:p>
    <w:p>
      <w:pPr>
        <w:pStyle w:val="ListBullet"/>
        <w:numPr>
          <w:ilvl w:val="0"/>
          <w:numId w:val="1"/>
        </w:numPr>
        <w:rPr/>
      </w:pPr>
      <w:r>
        <w:rPr/>
        <w:t>setlist.fm lookup requires Artist and Date to be identified, and Date must be normalized as yyyy-mm-dd. If no valid Date exists, do not call setlist.fm.</w:t>
      </w:r>
    </w:p>
    <w:p>
      <w:pPr>
        <w:pStyle w:val="ListBullet"/>
        <w:numPr>
          <w:ilvl w:val="0"/>
          <w:numId w:val="1"/>
        </w:numPr>
        <w:rPr/>
      </w:pPr>
      <w:r>
        <w:rPr/>
        <w:t>The setlist.fm API key is read from the SETLISTFM_API_KEY environment variable. If the key is missing or the request fails, record an observation and keep the existing metadata result.</w:t>
      </w:r>
    </w:p>
    <w:p>
      <w:pPr>
        <w:pStyle w:val="ListBullet"/>
        <w:numPr>
          <w:ilvl w:val="0"/>
          <w:numId w:val="1"/>
        </w:numPr>
        <w:rPr/>
      </w:pPr>
      <w:r>
        <w:rPr/>
        <w:t>setlist.fm rate limiting and the per-run call cap are defined in Appendix I and apply across local inventory worker processes. The cross-process shared rate-limit state must store a wall-clock timestamp, not a process-local monotonic timestamp.</w:t>
      </w:r>
    </w:p>
    <w:p>
      <w:pPr>
        <w:pStyle w:val="ListBullet"/>
        <w:numPr>
          <w:ilvl w:val="0"/>
          <w:numId w:val="1"/>
        </w:numPr>
        <w:rPr/>
      </w:pPr>
      <w:r>
        <w:rPr/>
        <w:t>The setlist.fm request must search by artist and date. The yyyy-mm-dd date supplied by TLO must be converted to the setlist.fm API date form dd-MM-yyyy.</w:t>
      </w:r>
    </w:p>
    <w:p>
      <w:pPr>
        <w:pStyle w:val="ListBullet"/>
        <w:numPr>
          <w:ilvl w:val="0"/>
          <w:numId w:val="1"/>
        </w:numPr>
        <w:rPr/>
      </w:pPr>
      <w:r>
        <w:rPr/>
        <w:t>If setlist.fm returns a usable result and the country is the United States or any recognized U.S. alternate such as US, USA, U.S.A., United States, or United States of America, set or fill the show-name location as Artist Date Venue City StateCode, except that explicit labeled setlist venue/location fields must not be overwritten.</w:t>
      </w:r>
    </w:p>
    <w:p>
      <w:pPr>
        <w:pStyle w:val="ListBullet"/>
        <w:numPr>
          <w:ilvl w:val="0"/>
          <w:numId w:val="1"/>
        </w:numPr>
        <w:rPr/>
      </w:pPr>
      <w:r>
        <w:rPr/>
        <w:t>If setlist.fm returns a usable result and the country is not the United States or a recognized U.S. alternate, set or fill the show-name location as Artist Date Venue City Country, except that explicit labeled setlist venue/location fields must not be overwritten.</w:t>
      </w:r>
    </w:p>
    <w:p>
      <w:pPr>
        <w:pStyle w:val="ListBullet"/>
        <w:numPr>
          <w:ilvl w:val="0"/>
          <w:numId w:val="1"/>
        </w:numPr>
        <w:rPr/>
      </w:pPr>
      <w:r>
        <w:rPr/>
        <w:t>When eTreeDB or setlist.fm supplies venue/location successfully, the lookup result may fill blanks only. It must not replace path-derived, heuristic, or setlist-derived venue/location fields. Disagreements are observations only, and equivalent or token-boundary subset/superset values such as Fillmore and Fillmore West do not count as disagreements. Preserve and append any captured parentheticals at the end of the show name.</w:t>
      </w:r>
    </w:p>
    <w:p>
      <w:pPr>
        <w:pStyle w:val="ListBullet"/>
        <w:numPr>
          <w:ilvl w:val="0"/>
          <w:numId w:val="1"/>
        </w:numPr>
        <w:rPr/>
      </w:pPr>
      <w:r>
        <w:rPr/>
        <w:t>Compliant and non-compliant processing must use the same shared online lookup functions so future eTreeDB or setlist.fm updates happen in one place.</w:t>
      </w:r>
    </w:p>
    <w:p>
      <w:pPr>
        <w:pStyle w:val="Normal"/>
        <w:rPr/>
      </w:pPr>
      <w:r>
        <w:rPr/>
      </w:r>
    </w:p>
    <w:p>
      <w:pPr>
        <w:pStyle w:val="ListBullet"/>
        <w:numPr>
          <w:ilvl w:val="0"/>
          <w:numId w:val="1"/>
        </w:numPr>
        <w:rPr/>
      </w:pPr>
      <w:r>
        <w:rPr/>
        <w:t>If multiple setlist.fm results are returned, prefer exact normalized artist-name matches. If multiple exact matches remain, use the first result returned by setlist.fm and record an observation. If the same setlist.fm API response already includes setlist/song rows, cache those rows as setlist-title candidates for tagging. Do not perform an additional setlist.fm request solely to retrieve track titles or setlist text.</w:t>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rPr/>
        <w:t>If a show name is established, append a space and PARENTHETICALS to the end of the show name, preserving multiple parentheticals in their original order.</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numPr>
          <w:ilvl w:val="0"/>
          <w:numId w:val="1"/>
        </w:numPr>
        <w:rPr/>
      </w:pPr>
      <w:r>
        <w:rPr/>
        <w:t>The short tokenized log names remain unchanged inside TLOHome/logs: confX.log, deadX.log, compX.log, dupsX.log, groupsX.log, metaX.log, tagsX.txt, and tageX.txt.</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rPr/>
        <w:t>Command-line copy/copy-delete destinations must pass the same startup capacity check as toBeInventoried.txt destinations.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rPr/>
        <w:t>--max-workers N is valid with N &gt;= 0. A value of 0 uses the selected performance-mode default; the effective worker count is capped by the number of accessible search paths.</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rPr/>
        <w:t>--rename-compliantly is valid independently of tagging. By itself during full inventory it renames identified original folders in place without writing audio tags; with a tag/copy mode it applies the compliant name to the corresponding source or destination.</w:t>
      </w:r>
    </w:p>
    <w:p>
      <w:pPr>
        <w:pStyle w:val="ListBullet"/>
        <w:numPr>
          <w:ilvl w:val="0"/>
          <w:numId w:val="1"/>
        </w:numPr>
        <w:rPr/>
      </w:pPr>
      <w:r>
        <w:rPr/>
        <w:t>--convert-shn is valid with no value and defaults to false. When supplied, any .shn or .shnf files encountered during Tag, Tag in Place During Inventory, or Tag Copy During Inventory are converted to .flac before track-title selection and tag writing.</w:t>
      </w:r>
    </w:p>
    <w:p>
      <w:pPr>
        <w:pStyle w:val="ListBullet"/>
        <w:numPr>
          <w:ilvl w:val="0"/>
          <w:numId w:val="1"/>
        </w:numPr>
        <w:rPr/>
      </w:pPr>
      <w:r>
        <w:rPr/>
        <w:t>--compliant-artist-mode master|as-is controls compliant String1 artist handling. master checks String1 against the artist database; as-is uses String1 directly.</w:t>
      </w:r>
    </w:p>
    <w:p>
      <w:pPr>
        <w:pStyle w:val="Normal"/>
        <w:rPr/>
      </w:pPr>
      <w:r>
        <w:rPr/>
        <w:t>--debug [BOOL] (optional command-line-only GUI flag; enables debug output without changing the concise startup banner)</w:t>
        <w:br/>
        <w:t>--silent</w:t>
        <w:br/>
        <w:t>--TLOHome DIR</w:t>
        <w:br/>
        <w:t>--search-path STRING</w:t>
        <w:br/>
        <w:t>--compliant</w:t>
        <w:br/>
        <w:t>--compliant-artist-mode master|as-is</w:t>
        <w:br/>
        <w:t>--tag-during-inventory</w:t>
        <w:br/>
        <w:t>--tag-copy-during-inventory</w:t>
        <w:br/>
        <w:t>--tag-copy-destination DIR</w:t>
        <w:br/>
        <w:t>--tag-copy-and-delete DIR</w:t>
        <w:br/>
        <w:t>--rename-compliantly</w:t>
        <w:br/>
        <w:t>--convert-shn</w:t>
        <w:br/>
        <w:t>--etree-lookup</w:t>
        <w:br/>
        <w:t>--setlistfm-lookup</w:t>
        <w:br/>
        <w:t>--performance-mode gentle|balanced|fast|extreme</w:t>
        <w:br/>
        <w:t>--max-workers N</w:t>
        <w:br/>
        <w:t>--current-storage-volume STRING (updater field default; overrides TLOCurrentStorage)</w:t>
        <w:br/>
        <w:t>--$slam STRING or legacy -$slam STRING</w:t>
        <w:br/>
        <w:t>--$copy DIR</w:t>
        <w:br/>
        <w:t>--$copy-delete DIR</w:t>
        <w:br/>
        <w:t>--myTLO STRING (undocumented; see Section 2.3)</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their shared options from the registry rather than maintaining independent hand-written copies. TLOHome, myTLO, --debug [BOOL], -$slam, and tagPath remain explicit carve-outs with their existing flags and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pPr>
        <w:pStyle w:val="Normal"/>
        <w:rPr/>
      </w:pPr>
      <w:r>
        <w:rPr/>
        <w:t>Lookup dependency requirement: setlist.fm requiring eTreeDB must be enforced by one shared function. In strict command-line/startup mode, setlist.fm without eTreeDB is an error. In GUI checkbox-auto mode, selecting setlist.fm enables eTreeDB.</w:t>
      </w:r>
    </w:p>
    <w:p>
      <w:pPr>
        <w:pStyle w:val="Normal"/>
        <w:rPr/>
      </w:pPr>
      <w:r>
        <w:rPr/>
        <w:t>Max Workers supplied-detection requirement: use argparse.SUPPRESS or an equivalent parser sentinel to detect whether --max-workers was supplied; do not scan raw argv strings for --max-workers.</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rPr/>
        <w:t>Add and maintain a standalone command-line tagger named tlo-tag.py. It must behave the same as running the GUI Tag workflow after the user starts tagging from the Tagger window.</w:t>
      </w:r>
    </w:p>
    <w:p>
      <w:pPr>
        <w:pStyle w:val="Normal"/>
        <w:rPr/>
      </w:pPr>
      <w:r>
        <w:rPr/>
        <w:t>tlo-tag.py must accept --TLOHome STRING, --myTLO STRING, --compliant, --tag-path STRING, and an optional positional tagPath string. If both --tag-path and positional tagPath are supplied with different non-empty values, report a readable error and exit.</w:t>
      </w:r>
    </w:p>
    <w:p>
      <w:pPr>
        <w:pStyle w:val="Normal"/>
        <w:rPr/>
      </w:pPr>
      <w:r>
        <w:rPr/>
        <w:t>TLOHome resolution for tlo-tag.py must use the same precedence as the rest of TLO: --myTLO, then --TLOHome, then the TLOHome environment variable.</w:t>
      </w:r>
    </w:p>
    <w:p>
      <w:pPr>
        <w:pStyle w:val="Normal"/>
        <w:rPr/>
      </w:pPr>
      <w:r>
        <w:rPr/>
        <w:t>When tagPath is blank, the tagger must use TLOHome/readyForXfer, or myTLO/readyForXfer when --myTLO wins TLOHome resolution.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Tag During Inventory and to the standalone/GUI Tagger. The normal TrackNo/Track Number tag remains written; only total-track and disc-position/count metadata is removed.</w:t>
      </w:r>
    </w:p>
    <w:p>
      <w:pPr>
        <w:pStyle w:val="Normal"/>
        <w:rPr/>
      </w:pPr>
      <w:r>
        <w:rPr/>
        <w:t>When Convert shn / --convert-shn is enabled, the tagging path must convert SHN/SHNF files to FLAC before choosing final track titles and before writing tags. Conversion must use the application-bundled native converter included with the PyInstaller build. Successful conversions replace the audio path used for tagging with the new FLAC path and delete the original SHN/SHNF file. Failed conversions must be logged as tag errors and the failed SHN/SHNF file must be left in place.</w:t>
      </w:r>
    </w:p>
    <w:p>
      <w:pPr>
        <w:pStyle w:val="Normal"/>
        <w:rPr/>
      </w:pPr>
      <w:r>
        <w:rPr/>
      </w:r>
    </w:p>
    <w:p>
      <w:pPr>
        <w:pStyle w:val="Normal"/>
        <w:rPr/>
      </w:pPr>
      <w:r>
        <w:rPr/>
        <w:t>For each successfully matched audio file, write Artist, Album, normalized Track Number, and Title tags. Artist comes from the resolved Artist. When a selected setlist exists and its parsed track count matches the audio-file count, Title comes from the associated setlist track title. If an apparent count mismatch is caused by obvious trailing note/prose text after a complete contiguous track list, ignore the trailing prose and use the setlist titles. If no numbered parseable setlist titles are available, unnumbered CD/Disc/Disk/Set song-list sections and unnumbered comma-separated setlist fallback may supply Titles when their count matches. If local setlist titles still cannot be used and etreeDB is enabled, eTreeDB may supply Titles when Artist plus yyyy-mm-dd Date are known and the returned title count matches. If Titles still cannot be found or the setlist title count does not match the number of files, Tag During Inventory and the standalone/GUI Tagger may use existing audio Title tags according to the last-resort rules in Section 13.1. Empty or generic title tags are written as Unknown only when this fallback is accepted; standalone/GUI tagging requires at least one usable existing Title tag before using this source for a setlist parse/count problem. Track Number is written as a zero-padded string: 01, 02, 03, ... when the folder has 99 or fewer music files, and 001, 002, 003, ... when the folder has more than 99 music files. Before writing Title tags, strip list-position prefixes such as "4 of 28" and setlist row prefixes such as "t01 -", "trk01:", and "track01 -" so only the real song title is written. Before writing any song Title tag, normalize the final title to regular printable characters: replace common smart punctuation, Unicode dash variants, no-break spaces, and ellipses with ordinary printable equivalents, and remove embedded control, zero-width, replacement, private-use, or otherwise non-printable characters. Numbered setlist rows must also accept set/CD-prefixed numeric rows such as 101, 102, and 201, where the leading digit identifies the CD or set and the last two digits identify the track; these rows are normalized to sequential Track Number tags.</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rPr/>
        <w:t>When the GUI Tag Copy/Delete Original -- Destination Path field is filled for a full inventory run, it overrides per-path --$copy and --$copy-delete destinations from toBeInventoried.txt. If the Search Path field is empty, the GUI must preflight the destination against the combined size of all accessible toBeInventoried.txt roots and show an alert if the destination lacks enough space.</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be checked automatically.</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rPr/>
        <w:t>The visible main-GUI checkboxes must be laid out in a three-column grid: etreeDB on the left with setlist.fm below it; Compliant in the middle with Convert shn directly below it in the former Silent checkbox position; and Tag in Place, Tag Copy, and Rename Compliantly vertically aligned in the right column. Silent must not be a visible GUI checkbox. The --silent command-line argument must remain supported for command-line/startup use. The Debug checkbox must not be visible in the GUI; debug is command-line only for tlo-ggi.py.</w:t>
      </w:r>
    </w:p>
    <w:p>
      <w:pPr>
        <w:pStyle w:val="ListBullet"/>
        <w:numPr>
          <w:ilvl w:val="0"/>
          <w:numId w:val="1"/>
        </w:numPr>
        <w:rPr/>
      </w:pPr>
      <w:r>
        <w:rPr/>
        <w:t>When tlo-ggi.py or tlo-ggi.exe is launched from the command line with --etree-lookup and/or --setlistfm-lookup, the corresponding GUI checkboxes (etreeDB and/or setlist.fm) must be reflected when the window opens. Command-line --setlistfm-lookup without --etree-lookup is a startup error. Interactive GUI checkbox behavior remains associated: checking setlist.fm checks etreeDB, and etreeDB remains checked whenever setlist.fm remains checked. The --debug command-line argument remains accepted, enables debug output when true, does not alter the concise startup banner, and must not appear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rPr/>
        <w:t>Populate the TLOHome input box from the environment variable when it exists.</w:t>
      </w:r>
    </w:p>
    <w:p>
      <w:pPr>
        <w:pStyle w:val="ListBullet"/>
        <w:numPr>
          <w:ilvl w:val="0"/>
          <w:numId w:val="1"/>
        </w:numPr>
        <w:rPr/>
      </w:pPr>
      <w:r>
        <w:rPr/>
        <w:t>Include myTLO support with the same precedence as CLI. It may remain undocumented in help if desired, but the GUI version must support it.</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rPr/>
        <w:t>Include Tag, Add Shows (incremental), Quit, Inventory (full), Pause, and Resume buttons in the main button row. Tag must display at the far left. Add Shows (incremental) and Inventory (full) must each display as centered two-line labels.</w:t>
      </w:r>
    </w:p>
    <w:p>
      <w:pPr>
        <w:pStyle w:val="ListBullet"/>
        <w:numPr>
          <w:ilvl w:val="0"/>
          <w:numId w:val="1"/>
        </w:numPr>
        <w:rPr/>
      </w:pPr>
      <w:r>
        <w:rPr/>
        <w:t>Main button layout: Tag is at the far left, Add Shows / (incremental) is immediately to its right, Quit is centered, and Inventory / (full), Pause, and Resume are grouped on the right. All main-row buttons must have the same height.</w:t>
      </w:r>
    </w:p>
    <w:p>
      <w:pPr>
        <w:pStyle w:val="ListBullet"/>
        <w:numPr>
          <w:ilvl w:val="0"/>
          <w:numId w:val="1"/>
        </w:numPr>
        <w:rPr/>
      </w:pPr>
      <w:r>
        <w:rP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bootlist output, and must ask the user to continue or cancel before processing new shows as the first inventory output.</w:t>
      </w:r>
    </w:p>
    <w:p>
      <w:pPr>
        <w:pStyle w:val="ListBullet"/>
        <w:numPr>
          <w:ilvl w:val="0"/>
          <w:numId w:val="1"/>
        </w:numPr>
        <w:rPr/>
      </w:pPr>
      <w:r>
        <w:rPr/>
        <w:t>The main GUI must include vertically aligned checkboxes labeled Tag in Place, Tag Copy, and Rename Compliantly. Tag in Place and Tag Copy are mutually exclusive. Rename Compliantly is independent of tagging. In Full Inventory, when Rename Compliantly is checked and Tag in Place, Tag Copy, and Tag Copy/Delete Original -- Destination Path are all unavailable, TLO must rename each identified original music folder in place using the resolved Show Name and must not write or alter audio tags. When combined with Tag in Place, the original folder is renamed before tagging; when combined with Tag Copy, the copy destination uses the compliant name; and when combined with Tag Copy/Delete Original, the transferred destination uses the compliant name. These main-window values apply to Full Inventory and GUI Tag runs. Add Shows inherits only Compliant and Rename Compliantly and ignores Tag in Place and Tag Copy. The Add Shows window must use the bold in-window heading Traders Little Helper™ Inventory Update App.</w:t>
      </w:r>
    </w:p>
    <w:p>
      <w:pPr>
        <w:pStyle w:val="ListBullet"/>
        <w:numPr>
          <w:ilvl w:val="0"/>
          <w:numId w:val="1"/>
        </w:numPr>
        <w:rPr/>
      </w:pPr>
      <w:r>
        <w:rPr/>
        <w:t>The main GUI must include a Convert shn checkbox. The checkbox maps to --convert-shn and applies to Tag, Tag in Place During Inventory, Tag Copy During Inventory, and Tag Copy/Delete Original During Inventory.</w:t>
      </w:r>
    </w:p>
    <w:p>
      <w:pPr>
        <w:pStyle w:val="ListBullet"/>
        <w:numPr>
          <w:ilvl w:val="0"/>
          <w:numId w:val="1"/>
        </w:numPr>
        <w:rPr/>
      </w:pPr>
      <w:r>
        <w:rP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tags the copy, and keeps the original source tree in the inventory. When Tag Copy/Delete Original is used, TLO captures metadata from the original source tree, transfers the folder, tags the destination, and records the destination in the inventory.</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rPr/>
        <w:t>Place the visible checkboxes in the required three-column grid with consistent vertical alignment; do not add a Debug checkbox to the grid.</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v1.0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rPr/>
        <w:t>Rename Compliantly must not require Tag in Place, Tag Copy, or Tag Copy/Delete Original. For Full Inventory, Rename Compliantly by itself means rename the identified original folder in place without tagging. The GUI and CLI must accept this combination without an alert or validation error. For a GUI/standalone Tag run, the Tag action still writes tags; when no copy mode is selected, the Tag workflow operates in place and may rename the folder compliantly before tagging.</w:t>
      </w:r>
    </w:p>
    <w:p>
      <w:pPr>
        <w:pStyle w:val="Normal"/>
        <w:rPr/>
      </w:pPr>
      <w:r>
        <w:rPr/>
        <w:t>The Tagger window must include a console subwindow that receives the same concise folder/file messages written by the standalone CLI tagger. The Tagger window must not include its own Tag in Place, Tag Copy, or Rename Compliantly checkboxes; those settings are controlled only from the main GUI window.</w:t>
      </w:r>
    </w:p>
    <w:p>
      <w:pPr>
        <w:pStyle w:val="Normal"/>
        <w:rPr/>
      </w:pPr>
      <w:r>
        <w:rPr/>
        <w:t>The Tagger window must include a text input labeled Tagging Path: pre-populated with TLOHome/readyForXfer, myTLO/readyForXfer when myTLO wins TLOHome resolution, or tagPath when tagPath is non-empty.</w:t>
      </w:r>
    </w:p>
    <w:p>
      <w:pPr>
        <w:pStyle w:val="Normal"/>
        <w:rPr/>
      </w:pPr>
      <w:r>
        <w:rPr/>
        <w:t>Clicking the main Tag button must open a new window whose title bar reads TLO Tagger GUI v1.0 Build XX. Inside the window, the only application heading must be the bold text Traders Little Helper™ Tagger App. Do not add a second in-window version heading. A summary line below the heading must show the inherited Tag mode, Rename Compliantly state, Convert shn state, Compliant state, and etreeDB state.</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rPr/>
      </w:pPr>
      <w:r>
        <w:rPr/>
        <w:t>14.1 Tagger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pPr>
              <w:pStyle w:val="Normal"/>
              <w:spacing w:before="0" w:after="0"/>
              <w:rPr/>
            </w:pPr>
            <w:r>
              <w:rPr>
                <w:sz w:val="16"/>
              </w:rPr>
              <w:t>General constraints and elapsed timer</w:t>
            </w:r>
          </w:p>
        </w:tc>
        <w:tc>
          <w:tcPr>
            <w:tcW w:w="2880" w:type="dxa"/>
            <w:tcBorders/>
          </w:tcPr>
          <w:p>
            <w:pPr>
              <w:pStyle w:val="Normal"/>
              <w:spacing w:before="0" w:after="0"/>
              <w:rPr/>
            </w:pPr>
            <w:r>
              <w:rPr>
                <w:sz w:val="16"/>
              </w:rPr>
              <w:t>tlo_main_lib.py / shared normalization utilities</w:t>
            </w:r>
          </w:p>
        </w:tc>
        <w:tc>
          <w:tcPr>
            <w:tcW w:w="2880" w:type="dxa"/>
            <w:tcBorders/>
          </w:tcPr>
          <w:p>
            <w:pPr>
              <w:pStyle w:val="Normal"/>
              <w:spacing w:before="0" w:after="0"/>
              <w:rPr/>
            </w:pPr>
            <w:r>
              <w:rPr>
                <w:sz w:val="16"/>
              </w:rPr>
              <w:t>Startup-to-exit timer, setlist filename behavior, and common normalization.</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The future user guide must warn that OS-specific path aliases, symlinks, junctions, mount aliases, and case-sensitive/case-insensitive equivalents may not all be detected as overlapping roots and may produce duplicate inventory entries.</w:t>
      </w:r>
    </w:p>
    <w:p>
      <w:pPr>
        <w:pStyle w:val="ListBullet"/>
        <w:numPr>
          <w:ilvl w:val="0"/>
          <w:numId w:val="1"/>
        </w:numPr>
        <w:rPr/>
      </w:pPr>
      <w:r>
        <w:rPr/>
        <w:t>The TLO Search app is a separate delivery and is outside the source/implementation scope of this inventory bundle. User documentation may describe its workflow only when it is clearly labeled as separately installed.</w:t>
      </w:r>
    </w:p>
    <w:p>
      <w:pPr>
        <w:pStyle w:val="Heading1"/>
        <w:rPr/>
      </w:pPr>
      <w:r>
        <w:rPr/>
        <w:t>Appendix C - Reserved</w:t>
      </w:r>
    </w:p>
    <w:p>
      <w:pPr>
        <w:pStyle w:val="Normal"/>
        <w:rPr/>
      </w:pPr>
      <w:r>
        <w:rPr/>
        <w:t>Reserved for future project-level clarifications that are not implementation requirements.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The implementation rejects obvious duplicate and nested roots. The user guide must warn that symlinks, junctions, mount aliases, and case-sensitive/case-insensitive equivalents can still cause duplicate inventory entries if supplied as separate roots.</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Quit behavior is specified in Section 14: before inventory starts, during active inventory scanning/worker execution, and after inventory scanning has completed. During active scanning, GUI Quit must terminate the active worker pool before deleting active tokenized logs and must exit the process so Windows child workers cannot continue writing after the GUI closes.</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rPr/>
        <w:t>Generated setlist file content rule: If no source setlist exists, generate one using the exact first line *** No setlist found ***. Then add available show metadata lines in this order: artist name; date; venue and location combined. Skip any metadata line whose value is blank. Then list recognized music filenames from the show directory in alphabetical order by filename.</w:t>
      </w:r>
    </w:p>
    <w:p>
      <w:pPr>
        <w:pStyle w:val="Normal"/>
        <w:rPr/>
      </w:pPr>
      <w:r>
        <w:rPr/>
        <w:t>Generated setlist metadata line terminology: "artist name" means the resolved Artist field. "date" means the normalized Date field. "venue and location" means the Venue field followed by the Location field when both are available; if only one exists, write only that value. No generated setlist line uses labels or prefixes.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pPr>
        <w:pStyle w:val="Heading3"/>
        <w:rPr/>
      </w:pPr>
      <w:r>
        <w:rPr/>
        <w:t>Setlist line filters</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rPr/>
        <w:t>E8. CLI, GUI, Logging, and Boolean Enumerations</w:t>
      </w:r>
    </w:p>
    <w:p>
      <w:pPr>
        <w:pStyle w:val="Heading3"/>
        <w:rPr/>
      </w:pPr>
      <w:r>
        <w:rPr/>
        <w:t>Supported inventory/updater CLI arguments, --etree-lookup, --setlistfm-lookup, and tagger-scoped arguments</w:t>
      </w:r>
    </w:p>
    <w:p>
      <w:pPr>
        <w:pStyle w:val="Normal"/>
        <w:rPr/>
      </w:pPr>
      <w:r>
        <w:rPr/>
        <w:t>--debug [BOOL], --silent, --TLOHome DIR, --myTLO STRING (undocumented; see Section 2.3), --search-path STRING, --compliant, --compliant-artist-mode master|as-is, --tag-during-inventory, --tag-copy-during-inventory, --tag-copy-destination DIR, --tag-copy-and-delete DIR, --rename-compliantly, --convert-shn, --etree-lookup, --setlistfm-lookup, --performance-mode gentle|balanced|fast|extreme, --max-workers N, --current-storage-volume STRING, --$slam STRING or legacy -$slam STRING, --$copy DIR, and --$copy-delete DIR. tagPath is not an inventory CLI argument; --tag-path is tagger-scoped for the tlo-ggi.py Tag launcher and tlo-tag.py only. The standalone tlo-tag.py command also accepts --etree-lookup to enable eTreeDB song-title fallback during tagging.</w:t>
      </w:r>
    </w:p>
    <w:p>
      <w:pPr>
        <w:pStyle w:val="Heading3"/>
        <w:rPr/>
      </w:pPr>
      <w:r>
        <w:rPr/>
        <w:t>GUI fields and visible checkboxes/buttons include TLOHome, Search Path, Slam, Performance Mode, Max Workers, etreeDB, setlist.fm, Compliant, Convert shn, Tag in Place, Tag Copy, Rename Compliantly, Add Shows (incremental), Quit, Inventory (full), Pause, Resume, and Tag. Silent remains command-line only through --silent.</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pStyle w:val="Normal"/>
        <w:rPr/>
      </w:pPr>
      <w:r>
        <w:rPr/>
        <w:t>TLOHome, Search Path, Slam, Performance Mode, Max Workers, etreeDB, Compliant, Convert shn, Tag in Place, Tag Copy, Rename Compliantly, setlist.fm,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rPr/>
        <w:t>Integer N &gt;= 0. In CLI parsing, zero means use the selected performance-mode/platform default. In the GUI, omitted or zero --max-workers opens as the computed default value rather than showing 0, except extreme mode opens as 0 to mean its uncapped default. Effective runtime workers are capped by the number of accessible search paths; extreme imposes no additional performance-mode worker cap.</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rPr/>
        <w:t>This appendix documents the eTreeDB interface used when --etree-lookup is enabled in either non-compliant or compliant mode.</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rPr/>
        <w:t>If the query fails or no matching performance remains after local filtering, record an observation and continue with selected setlist metadata. If a match succeeds but disagrees with any already identified venue/location metadata, retain the existing values and record the eTreeDB disagreement as an observation, except when the values are equivalent or one is a token-boundary subset of the other.</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rPr/>
        <w:t>If a match is found, TLO uses venue, city, and state/country only to fill blank VENUE, CITY, REGION, COUNTRY, and LOCATION fields. eTreeDB must not replace nonblank path-derived, heuristic, venue-list, or setlist-derived fields. Differences are observations only, except for equivalent or token-boundary subset/superset values.</w:t>
      </w:r>
    </w:p>
    <w:p>
      <w:pPr>
        <w:pStyle w:val="Normal"/>
        <w:rPr/>
      </w:pPr>
      <w:r>
        <w:rPr/>
        <w:t>If no match is found, no Date exists, Date is not yyyy-mm-dd, or an error occurs, TLO records an observation and continues with selected setlist metadata. Successful eTreeDB results fill blanks only; they do not replace existing metadata.</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rPr/>
        <w:t>This appendix documents the setlist.fm last-resort lookup used when --setlistfm-lookup is enabled in either non-compliant or compliant mode.</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Normal"/>
        <w:rPr/>
      </w:pPr>
      <w:r>
        <w:rPr/>
        <w:t>Required API key: SETLISTFM_API_KEY environment variable.</w:t>
      </w:r>
    </w:p>
    <w:p>
      <w:pPr>
        <w:pStyle w:val="Heading2"/>
        <w:rPr/>
      </w:pPr>
      <w:r>
        <w:rPr/>
        <w:t>Lookup behavior</w:t>
      </w:r>
    </w:p>
    <w:p>
      <w:pPr>
        <w:pStyle w:val="ListBullet"/>
        <w:numPr>
          <w:ilvl w:val="0"/>
          <w:numId w:val="1"/>
        </w:numPr>
        <w:rPr/>
      </w:pPr>
      <w:r>
        <w:rPr/>
        <w:t>In non-compliant mode, the implementation queries setlist.fm only after path metadata, eTreeDB, and selected setlist metadata have all been applied or checked, and only if eTreeDB did not return usable venue/location data for the current artist/date. setlist.fm fills blanks only and records non-equivalent disagreements as observations. In compliant mode, where selected setlist metadata is not used, setlist.fm remains the fallback after eTreeDB when enabled and otherwise valid.</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rPr/>
        <w:t>setlist.fm requests must be rate-limited to at most one request every 600 milliseconds across local inventory worker processes.</w:t>
      </w:r>
    </w:p>
    <w:p>
      <w:pPr>
        <w:pStyle w:val="ListBullet"/>
        <w:numPr>
          <w:ilvl w:val="0"/>
          <w:numId w:val="1"/>
        </w:numPr>
        <w:rPr/>
      </w:pPr>
      <w:r>
        <w:rPr/>
        <w:t>setlist.fm requests must also be capped at 1,400 calls per inventory run. The cap applies across local inventory worker processes for the same run.</w:t>
      </w:r>
    </w:p>
    <w:p>
      <w:pPr>
        <w:pStyle w:val="Normal"/>
        <w:rPr/>
      </w:pPr>
      <w:r>
        <w:t>v314 update: The main Inventory GUI includes About and FAQ choices. About displays the TLO name, current V1.0Build number, developer attribution, tool attribution, and contact text. FAQ opens TLOHome/TLO-FAQ.txt, and TLO-FAQ.txt is included in the source bundle and distribution package.</w:t>
      </w:r>
    </w:p>
    <w:p>
      <w:pPr>
        <w:pStyle w:val="Normal"/>
        <w:widowControl/>
        <w:bidi w:val="0"/>
        <w:spacing w:lineRule="auto" w:line="276" w:before="0" w:after="200"/>
        <w:jc w:val="left"/>
        <w:rPr/>
      </w:pPr>
      <w:r>
        <w:rPr/>
        <w:t>v315 update: TLO-FAQ.txt now includes entries describing TLOHome setup, user-controlled destructive actions, and re-inventory behavior for named and unnamed volumes.</w:t>
      </w:r>
    </w:p>
    <w:p>
      <w:r>
        <w:t>v316 update: The main Inventory GUI replaces the lower-row Help button with an upper-right hamburger menu. The hamburger menu expands to a Help cascade with a chevron/arrow indicator; Help then expands to About and FAQ choices. About and FAQ behavior remains unchanged.</w:t>
      </w:r>
    </w:p>
    <w:p>
      <w:r>
        <w:t>v317 update: The upper-right hamburger Help cascade now binds About and FAQ through explicit menu-action wrappers so the selected menu item opens the same About and FAQ windows that worked under the former Help button.</w:t>
      </w:r>
    </w:p>
    <w:p>
      <w:r>
        <w:t>v318 update: TLOHome/CorruptFlacs.txt is created for tagging runs and receives the complete path of each FLAC file that cannot be opened or written during tagging. TLO Search (tlo-gsi.py) now accepts hidden --myTLO with the same precedence as the other TLO entry points: --myTLO, then --TLOHome, then the TLOHome environment variable.</w:t>
      </w:r>
    </w:p>
    <w:p>
      <w:r>
        <w:t>v321 update: Cleanup hardening adds a runtime_control terminate_all_children() backstop before forced GUI exits and in CLI Ctrl-C handling so ProcessPoolExecutor workers and multiprocessing.Manager server processes are not orphaned. CLI interruption cleans newly allocated log tokens, SHN-to-FLAC conversion now uses a bounded ffmpeg timeout, and setlist date-fallback reads use a with-open context manager so scanned-drive file handles close deterministically.</w:t>
      </w:r>
    </w:p>
    <w:p>
      <w:pPr>
        <w:pStyle w:val="Heading1"/>
      </w:pPr>
      <w:r>
        <w:t>v321 Icon Asset Packaging</w:t>
      </w:r>
    </w:p>
    <w:p>
      <w:r>
        <w:t>The source bundle includes prebuilt Windows .ico files and macOS .icns files for the inventory GUI, search GUI, and tagger. Native build scripts pass these platform icon files directly to PyInstaller instead of generating icons during the GitHub build process.</w:t>
      </w:r>
    </w:p>
    <w:p>
      <w:r>
        <w:t>Required icon assets: icons/tlo-inventory-icon.ico, icons/tlo-search-icon.ico, icons/tlo-tag-icon.ico, icons/tlo-inventory-icon.icns, icons/tlo-search-icon.icns, and icons/tlo-tag-icon.icns. PNG source artwork is retained in icons/.</w:t>
      </w:r>
    </w:p>
    <w:p>
      <w:r>
        <w:t>v321 update: Windows icon assets are packaged as DIB/BMP-based multi-image ICO files, and the Windows build verifies that each GUI executable contains the exact packaged custom icon resources rather than only checking for any icon resource.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
  <cp:keywords>TLO Inventory Requirements v1.0 Build 310</cp:keywords>
  <dc:language>en-US</dc:language>
  <cp:lastModifiedBy/>
  <dcterms:modified xsi:type="dcterms:W3CDTF">2026-06-22T22:02:32Z</dcterms:modified>
  <cp:revision>1</cp:revision>
  <dc:subject>TLO Inventory requirements, v1.0 Build 319</dc:subject>
  <dc:title>TLO Inventory Update Requirements - Merged Complete Specification</dc:title>
</cp:coreProperties>
</file>