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v378 (v1.4 Build 378).</w:t>
      </w:r>
    </w:p>
    <w:p>
      <w:pPr>
        <w:pStyle w:val="Normal"/>
        <w:rPr/>
      </w:pPr>
      <w:r>
        <w:t>Document organization: Sections 1-19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ARTIST value to monopolize artist resolution. If an earlier sampled value is rejected as unmatched numeric/date-like noise, continue to later sampled ARTIST values and then ALBUMARTIST values according to the normal ARTIST-before-ALBUMARTIST precedence.</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If String2 is not date-like, treat String2 as the album name. Store String2 in ALBUM_NAME. Do not parse, validate, or split String2 into venue/location fields.</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The replacement must be recorded as an observation. Setlist metadata must not overwrite stronger path evidence, eTreeDB evidence, or other non-path evidence. Artist remains fill-only at this stage. Equivalent values may be retained and corroborated without a disagreement observation.</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w:t>
      </w:r>
    </w:p>
    <w:p>
      <w:pPr>
        <w:pStyle w:val="ListBullet"/>
        <w:numPr>
          <w:ilvl w:val="0"/>
          <w:numId w:val="1"/>
        </w:numPr>
        <w:rPr/>
      </w:pPr>
      <w:r>
        <w:t>If String1 Date String2 is not found, check for String1 -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String1 - String2, no Date is assigned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t>There is no date. When --etree-lookup is false, the show name is Artist - String2.</w:t>
      </w:r>
    </w:p>
    <w:p>
      <w:pPr>
        <w:pStyle w:val="ListBullet"/>
        <w:numPr>
          <w:ilvl w:val="0"/>
          <w:numId w:val="1"/>
        </w:numPr>
        <w:rPr/>
      </w:pPr>
      <w:r>
        <w:t>For the String1 - String2 compliant case, there is no date. Do not assign xxxx-xx-xx for the compliant extraction record or generated setlist content.</w:t>
      </w:r>
    </w:p>
    <w:p>
      <w:pPr>
        <w:pStyle w:val="ListBullet"/>
        <w:numPr>
          <w:ilvl w:val="0"/>
          <w:numId w:val="1"/>
        </w:numPr>
        <w:rPr/>
      </w:pPr>
      <w:r>
        <w:t>The generated setlist text filename for this compliant case must include a dash between the sanitized Artist/String1 component and the sanitized String2 component: Artist-String2.</w:t>
      </w:r>
    </w:p>
    <w:p>
      <w:pPr>
        <w:pStyle w:val="Heading2"/>
        <w:rPr/>
      </w:pPr>
      <w:r>
        <w:t>8.4 String1 Date</w:t>
      </w:r>
    </w:p>
    <w:p>
      <w:pPr>
        <w:pStyle w:val="ListBullet"/>
        <w:numPr>
          <w:ilvl w:val="0"/>
          <w:numId w:val="1"/>
        </w:numPr>
        <w:rPr/>
      </w:pPr>
      <w:r>
        <w:t>If String1 Date String2 and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and a checkbox titled setlist.fm, mapped to --setlistfm-lookup.</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be the active/default action for the Research dialog, and pressing Enter while focus is anywhere within that Research dialog shall be equivalent to Search.</w:t>
      </w:r>
    </w:p>
    <w:p>
      <w:pPr/>
      <w:r>
        <w:t>A successful GUI research operation shall display the same formatted result produced by the standalone tlo-research command in a new non-wrapping text window with vertical scrolling and a horizontal scrollbar along the bottom of the results box. Search errors, missing TLOHome/logs, or invalid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active-run tokenized logs, and exit the process.</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371: wrapper-term metadata path and unmatched tag artist precedence corrections.</dc:description>
  <cp:keywords>TLO, Inventory, Requirements, v1.4, Build 376, partial dates, 19xx, 20xx</cp:keywords>
  <dc:language>en-US</dc:language>
  <cp:lastModifiedBy/>
  <dcterms:modified xsi:type="dcterms:W3CDTF">2026-08-03T22:32:32Z</dcterms:modified>
  <cp:revision>1</cp:revision>
  <dc:subject>TLO v1.4 Build 377 requirements</dc:subject>
  <dc:title>TLO Inventory Requirements Working v374</dc:title>
</cp:coreProperties>
</file>